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60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</w:pPr>
    </w:p>
    <w:p w14:paraId="1630A9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  <w:t>临空经济区关于支持企业高质量发展</w:t>
      </w:r>
    </w:p>
    <w:p w14:paraId="483F42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小标宋" w:hAnsi="小标宋" w:eastAsia="小标宋" w:cs="小标宋"/>
          <w:spacing w:val="-11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  <w:t>若干政策</w:t>
      </w:r>
    </w:p>
    <w:p w14:paraId="0B0FAA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8AEB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根据国家法律、法规及国务院有关规定，为进一步优化全区营商环境，激发市场主体活力，提升产业能级，促进经济高质量发展，结合临空经济区发展定位与实际，制定本政策。</w:t>
      </w:r>
    </w:p>
    <w:p w14:paraId="61172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一、总则</w:t>
      </w:r>
    </w:p>
    <w:p w14:paraId="07AE3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新发展理念，以推动高质量发展为主题，以深化供给侧结构性改革为主线，以改革创新为根本动力，强化系统谋划与精准施策相结合，既注重解决企业当前面临的共性难题，也着力布局长远发展的关键环节，推动有效市场与有为政府更好结合，为企业发展厚植沃土、保驾护航。</w:t>
      </w:r>
    </w:p>
    <w:p w14:paraId="735A9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构建一流营商环境，提升综合服务能级</w:t>
      </w:r>
    </w:p>
    <w:p w14:paraId="76347C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第一条 提升政务服务效能。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全面对标国内先进地区，深化“放管服”改革，推动政务服务标准化、规范化、数字化。设立“企业服务专窗”，推行“一网通办、一窗受理”，简化审批流程，压缩办理时限。建立健全企业诉求响应机制，明确专人对接，限时办结企业反映的问题。</w:t>
      </w:r>
    </w:p>
    <w:p w14:paraId="484603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第二条 强化要素保障支持。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实施“要素跟着项目走”保障机制，优先保障符合临空产业导向的重大项目在土地、能耗等方面的需求。超前规划和建设5G网络、工业互联网、智慧物流等新型基础设施，降低企业运营成本。鼓励金融机构创新信贷产品，定期组织银企对接活动，拓宽企业融资渠道。</w:t>
      </w:r>
    </w:p>
    <w:p w14:paraId="4D01F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第三条 搭建产业对接平台。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围绕航空物流、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智能制造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光电子信息、生命健康、跨境电商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等主导产业，定期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精准对接活动，促进区内企业协作配套、融通发展。支持龙头企业牵头组建创新联合体，联合高校、科研院所开展关键核心技术攻关。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做优外综综合服务平台，为企业拓展国际市场提供信息、法律、通关等一站式支持。</w:t>
      </w:r>
    </w:p>
    <w:p w14:paraId="18684D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第四条 加强人才引进与培育。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建立以创新能力、质量、实效、贡献为导向的人才评价体系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为高层次人才提供“一站式”落地服务，在安居保障、子女教育、医疗健康等方面给予优先安排。支持企业与职业院校共建产业学院、实训基地，开展“订单式”技能人才培养。</w:t>
      </w:r>
    </w:p>
    <w:p w14:paraId="5611C6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第五条 营造公平竞争市场环境。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严格落实产权保护制度，依法平等保护各类所有制企业合法权益。加大知识产权创造、运用、保护和管理全链条服务力度，定期开展涉企政策合规性审查和公平竞争审查，破除市场准入隐性壁垒，保障各类市场主体公平参与竞争。</w:t>
      </w:r>
    </w:p>
    <w:p w14:paraId="23CBF7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聚焦关键领域，实施精准激励</w:t>
      </w:r>
    </w:p>
    <w:p w14:paraId="3D65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第六条 支持培育壮大经营主体。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对年营业收入首次达到2000万以上的工业企业，给予一次性奖励20万元。二是对年营业收入首次达到2000万以上的批发企业、对年营业收入首次达到500万以上的零售企业、对年营业收入首次达到200万以上的住宿和餐饮企业（含大个体户），给予一次性奖励5万元。三是对年营业收入首次达到2000万元以上的交通运输、仓储和邮政业，信息传输、软件和信息技术服务业，水利、环境和公共设施管理业，卫生的服务业法人单位；年营业收入首次达到1000万元以上的租赁和商务服务业，科学研究和技术服务业，教育，以及物业管理、房地产中介服务、房地产租赁经营和其他房地产业的服务业法人单位；年营业收入首次达到500万元以上的居民服务、修理和其他服务业，文化、体育和娱乐业，社会工作的服务业法人单位，给予一次性奖励5万元。</w:t>
      </w:r>
    </w:p>
    <w:p w14:paraId="1DEA8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条 支持工业企业技改扩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产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对当年实施的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并实现有效投资的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工业技改投资项目，按实际投资额分档给予奖补，其中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投资2000万元（不含）以下的，奖补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投资2000万元至5000万元（不含）的，奖补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投资5000万元至1亿（不含）的，奖补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投资1亿元以上的，奖补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万元。</w:t>
      </w:r>
    </w:p>
    <w:p w14:paraId="6793E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第八条 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支持企业做优做强。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对首次入选国家级专精特新“小巨人”企业奖励20万元、省级专精特新中小企业奖励10万元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,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对新认定的国家级绿色工厂奖励20万元、省级绿色工厂奖励10万元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，对获评省级5G工厂企业一次性奖励10万元。</w:t>
      </w:r>
    </w:p>
    <w:p w14:paraId="70E811ED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条 支持培育科技型企业。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当年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认定的高新技术企业按其上年度研发投入额的10%给予奖励，最高不超过10万元，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按元为最小单位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四舍五入取整数。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对当年成功纳入“全国科技型中小企业信息库”的科技型中小企业奖励5000元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，其中已被认定为国家高新技术企业的不重复奖励。</w:t>
      </w:r>
    </w:p>
    <w:p w14:paraId="67244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四、附则</w:t>
      </w:r>
    </w:p>
    <w:p w14:paraId="587E44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第十条 政策衔接与解释。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政策实施过程中，与国家法律、法规和国务院有关规定冲突的，以国家法律、法规和国务院有关规定为准。本政策所述奖补资金均为区级财政配套奖励资金，与上级奖补政策可叠加享受。区级其他政策与本政策重复的，按照“从优、就高、不重复”原则执行。</w:t>
      </w:r>
    </w:p>
    <w:p w14:paraId="3241AE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第十一条 负面清单管理。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申请企业在本年度内存在下列情形之一的，不予享受本政策支持：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因安全、质量等相关违法行为，被行政机关依法作出没收违法所得、责令停产停业、暂扣或吊销许可证照等行政处罚的；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对发生的一般及以上等级的生产安全、质量安全事故负有主要责任的；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被国家或地方相关主管部门依法列入并公示的严重违法失信名单、经营异常名录（因违法行为被列入）等失信名单，且尚未完成信用修复的；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企业或其法定代表人、主要负责人因相关违法行为被依法追究刑事责任的。 </w:t>
      </w:r>
    </w:p>
    <w:p w14:paraId="3A6C80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3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第十三条 施行时间与有效期。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本政策由临空经济区经济发展局牵头，各相关部门配合实施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,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自202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年1月开始执行，有效期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年。</w:t>
      </w:r>
    </w:p>
    <w:p w14:paraId="156BCD66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24B20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516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</w:t>
      </w:r>
    </w:p>
    <w:p w14:paraId="463E70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临空经济区办公室</w:t>
      </w:r>
    </w:p>
    <w:p w14:paraId="211F858F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2026年2月9日</w:t>
      </w:r>
    </w:p>
    <w:sectPr>
      <w:pgSz w:w="11906" w:h="16838"/>
      <w:pgMar w:top="1757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11685"/>
    <w:multiLevelType w:val="singleLevel"/>
    <w:tmpl w:val="2CE1168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zJhMzI4MTE4MTBhZDM1MTc4ZWMyNTRhY2E1ZjEifQ=="/>
  </w:docVars>
  <w:rsids>
    <w:rsidRoot w:val="00000000"/>
    <w:rsid w:val="00E30FAC"/>
    <w:rsid w:val="02647ECA"/>
    <w:rsid w:val="029F343E"/>
    <w:rsid w:val="031B01E1"/>
    <w:rsid w:val="051832E4"/>
    <w:rsid w:val="05EF21A1"/>
    <w:rsid w:val="07707C9A"/>
    <w:rsid w:val="08ED6E6B"/>
    <w:rsid w:val="09580BEF"/>
    <w:rsid w:val="0C040028"/>
    <w:rsid w:val="0C914B9B"/>
    <w:rsid w:val="0D5B1FE0"/>
    <w:rsid w:val="0FA25249"/>
    <w:rsid w:val="0FDD614C"/>
    <w:rsid w:val="113E7AD2"/>
    <w:rsid w:val="11C42733"/>
    <w:rsid w:val="15B11221"/>
    <w:rsid w:val="16167466"/>
    <w:rsid w:val="1688761A"/>
    <w:rsid w:val="190A3122"/>
    <w:rsid w:val="1BE20ADE"/>
    <w:rsid w:val="1C363B37"/>
    <w:rsid w:val="1EC97FD9"/>
    <w:rsid w:val="1F1D0735"/>
    <w:rsid w:val="20EA777C"/>
    <w:rsid w:val="21521B0A"/>
    <w:rsid w:val="226A2E83"/>
    <w:rsid w:val="24C719DC"/>
    <w:rsid w:val="2613614E"/>
    <w:rsid w:val="2622390C"/>
    <w:rsid w:val="27310E38"/>
    <w:rsid w:val="2A50295E"/>
    <w:rsid w:val="2B2E66E1"/>
    <w:rsid w:val="2B72312E"/>
    <w:rsid w:val="2BC24D22"/>
    <w:rsid w:val="2C1A3224"/>
    <w:rsid w:val="2D915768"/>
    <w:rsid w:val="2DAD1E76"/>
    <w:rsid w:val="2E4427DA"/>
    <w:rsid w:val="2FD162F8"/>
    <w:rsid w:val="32C24615"/>
    <w:rsid w:val="32FB17B4"/>
    <w:rsid w:val="33882966"/>
    <w:rsid w:val="3411615A"/>
    <w:rsid w:val="364A2160"/>
    <w:rsid w:val="3852327A"/>
    <w:rsid w:val="38C05405"/>
    <w:rsid w:val="39FE68EB"/>
    <w:rsid w:val="3A2D6818"/>
    <w:rsid w:val="3A7C38A6"/>
    <w:rsid w:val="3A875DF2"/>
    <w:rsid w:val="3AC727C9"/>
    <w:rsid w:val="3AF718F3"/>
    <w:rsid w:val="3CA72DBE"/>
    <w:rsid w:val="3E2829FD"/>
    <w:rsid w:val="3F5A27BD"/>
    <w:rsid w:val="40D215FA"/>
    <w:rsid w:val="41173D7E"/>
    <w:rsid w:val="422E0F26"/>
    <w:rsid w:val="42407915"/>
    <w:rsid w:val="43813731"/>
    <w:rsid w:val="48CB7E7F"/>
    <w:rsid w:val="49AB775A"/>
    <w:rsid w:val="4CFC6CFB"/>
    <w:rsid w:val="4E9724F1"/>
    <w:rsid w:val="4F8C5937"/>
    <w:rsid w:val="52285E83"/>
    <w:rsid w:val="554D131D"/>
    <w:rsid w:val="55823A64"/>
    <w:rsid w:val="574C432A"/>
    <w:rsid w:val="57B16156"/>
    <w:rsid w:val="582A021C"/>
    <w:rsid w:val="594B0611"/>
    <w:rsid w:val="5AAF215D"/>
    <w:rsid w:val="5C5D3A0F"/>
    <w:rsid w:val="5C734AE8"/>
    <w:rsid w:val="5CFE0FF2"/>
    <w:rsid w:val="5DF929D7"/>
    <w:rsid w:val="5E1E66A9"/>
    <w:rsid w:val="5E5F2523"/>
    <w:rsid w:val="60F90A54"/>
    <w:rsid w:val="63136FFB"/>
    <w:rsid w:val="651261D8"/>
    <w:rsid w:val="656E25EA"/>
    <w:rsid w:val="682D0714"/>
    <w:rsid w:val="68527B0C"/>
    <w:rsid w:val="6A28508C"/>
    <w:rsid w:val="6B9B0918"/>
    <w:rsid w:val="6BE41989"/>
    <w:rsid w:val="6D482C85"/>
    <w:rsid w:val="6DD412A4"/>
    <w:rsid w:val="6EB21F32"/>
    <w:rsid w:val="6F2D283B"/>
    <w:rsid w:val="73577E87"/>
    <w:rsid w:val="73652097"/>
    <w:rsid w:val="74567308"/>
    <w:rsid w:val="75C01CB5"/>
    <w:rsid w:val="77EF2374"/>
    <w:rsid w:val="798F47E8"/>
    <w:rsid w:val="7A9C0875"/>
    <w:rsid w:val="7C2D5AFA"/>
    <w:rsid w:val="7D194D9F"/>
    <w:rsid w:val="7EA47EF6"/>
    <w:rsid w:val="7F7C6B34"/>
    <w:rsid w:val="DCFF3A68"/>
    <w:rsid w:val="FEB8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600" w:lineRule="exact"/>
      <w:ind w:firstLine="606" w:firstLineChars="200"/>
    </w:pPr>
    <w:rPr>
      <w:rFonts w:ascii="Calibri" w:hAnsi="Calibri" w:eastAsia="仿宋_GB2312"/>
      <w:sz w:val="32"/>
      <w:szCs w:val="32"/>
    </w:rPr>
  </w:style>
  <w:style w:type="paragraph" w:styleId="3">
    <w:name w:val="Body Text First Indent 2"/>
    <w:basedOn w:val="2"/>
    <w:next w:val="1"/>
    <w:qFormat/>
    <w:uiPriority w:val="0"/>
    <w:pPr>
      <w:ind w:firstLine="4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qFormat/>
    <w:uiPriority w:val="0"/>
    <w:pPr>
      <w:ind w:left="3256"/>
      <w:jc w:val="both"/>
      <w:textAlignment w:val="baseline"/>
    </w:pPr>
    <w:rPr>
      <w:rFonts w:ascii="宋体" w:hAnsi="宋体" w:eastAsia="宋体"/>
      <w:kern w:val="2"/>
      <w:sz w:val="20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1436</Words>
  <Characters>1518</Characters>
  <Lines>0</Lines>
  <Paragraphs>0</Paragraphs>
  <TotalTime>8</TotalTime>
  <ScaleCrop>false</ScaleCrop>
  <LinksUpToDate>false</LinksUpToDate>
  <CharactersWithSpaces>1555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2025-07-23T10:35:00Z</dcterms:created>
  <dc:creator>Administrator</dc:creator>
  <cp:lastModifiedBy>zhouc</cp:lastModifiedBy>
  <cp:lastPrinted>2026-02-06T03:44:00Z</cp:lastPrinted>
  <dcterms:modified xsi:type="dcterms:W3CDTF">2026-02-18T09:47:26Z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E8228CC5C74D4F8397E27D1F3837AA55_13</vt:lpwstr>
  </property>
  <property fmtid="{D5CDD505-2E9C-101B-9397-08002B2CF9AE}" pid="4" name="KSOTemplateDocerSaveRecord">
    <vt:lpwstr>eyJoZGlkIjoiYWNmZWFmNzRjNDU2NTI5OWQ1MzdhZmQ2ODg4ZDg1YTcifQ==</vt:lpwstr>
  </property>
</Properties>
</file>