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09B" w:rsidRDefault="0084009B" w:rsidP="00A461F3">
      <w:pPr>
        <w:spacing w:line="580" w:lineRule="exact"/>
        <w:jc w:val="center"/>
        <w:rPr>
          <w:rFonts w:ascii="仿宋_GB2312" w:eastAsia="仿宋_GB2312" w:hAnsi="仿宋_GB2312" w:cs="Times New Roman"/>
          <w:sz w:val="32"/>
          <w:szCs w:val="32"/>
        </w:rPr>
      </w:pPr>
    </w:p>
    <w:p w:rsidR="0084009B" w:rsidRDefault="0084009B" w:rsidP="00A461F3">
      <w:pPr>
        <w:spacing w:line="580" w:lineRule="exact"/>
        <w:jc w:val="center"/>
        <w:rPr>
          <w:rFonts w:ascii="仿宋_GB2312" w:eastAsia="仿宋_GB2312" w:hAnsi="仿宋_GB2312" w:cs="Times New Roman"/>
          <w:sz w:val="32"/>
          <w:szCs w:val="32"/>
        </w:rPr>
      </w:pPr>
    </w:p>
    <w:p w:rsidR="0084009B" w:rsidRDefault="0084009B" w:rsidP="00A461F3">
      <w:pPr>
        <w:spacing w:line="580" w:lineRule="exact"/>
        <w:jc w:val="center"/>
        <w:rPr>
          <w:rFonts w:ascii="仿宋_GB2312" w:eastAsia="仿宋_GB2312" w:hAnsi="仿宋_GB2312" w:cs="Times New Roman"/>
          <w:sz w:val="32"/>
          <w:szCs w:val="32"/>
        </w:rPr>
      </w:pPr>
    </w:p>
    <w:p w:rsidR="0084009B" w:rsidRDefault="0084009B" w:rsidP="00A461F3">
      <w:pPr>
        <w:spacing w:line="580" w:lineRule="exact"/>
        <w:jc w:val="center"/>
        <w:rPr>
          <w:rFonts w:ascii="仿宋_GB2312" w:eastAsia="仿宋_GB2312" w:hAnsi="仿宋_GB2312" w:cs="Times New Roman"/>
          <w:sz w:val="32"/>
          <w:szCs w:val="32"/>
        </w:rPr>
      </w:pPr>
    </w:p>
    <w:p w:rsidR="0084009B" w:rsidRDefault="0084009B" w:rsidP="00A461F3">
      <w:pPr>
        <w:spacing w:line="580" w:lineRule="exact"/>
        <w:jc w:val="center"/>
        <w:rPr>
          <w:rFonts w:ascii="仿宋_GB2312" w:eastAsia="仿宋_GB2312" w:hAnsi="仿宋_GB2312" w:cs="Times New Roman"/>
          <w:sz w:val="32"/>
          <w:szCs w:val="32"/>
        </w:rPr>
      </w:pPr>
    </w:p>
    <w:p w:rsidR="0084009B" w:rsidRDefault="0084009B" w:rsidP="00A461F3">
      <w:pPr>
        <w:spacing w:line="560" w:lineRule="exact"/>
        <w:jc w:val="center"/>
        <w:rPr>
          <w:rFonts w:ascii="仿宋_GB2312" w:eastAsia="仿宋_GB2312" w:hAnsi="仿宋_GB2312" w:cs="Times New Roman"/>
          <w:sz w:val="32"/>
          <w:szCs w:val="32"/>
        </w:rPr>
      </w:pPr>
    </w:p>
    <w:p w:rsidR="0084009B" w:rsidRDefault="0084009B" w:rsidP="00A461F3">
      <w:pPr>
        <w:spacing w:line="560" w:lineRule="exact"/>
        <w:jc w:val="center"/>
        <w:rPr>
          <w:rFonts w:ascii="仿宋_GB2312" w:eastAsia="仿宋_GB2312" w:hAnsi="仿宋_GB2312" w:cs="Times New Roman"/>
          <w:sz w:val="32"/>
          <w:szCs w:val="32"/>
        </w:rPr>
      </w:pPr>
      <w:r>
        <w:rPr>
          <w:rFonts w:ascii="仿宋_GB2312" w:eastAsia="仿宋_GB2312" w:hAnsi="仿宋_GB2312" w:cs="仿宋_GB2312" w:hint="eastAsia"/>
          <w:sz w:val="32"/>
          <w:szCs w:val="32"/>
        </w:rPr>
        <w:t>新庙办发〔</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号</w:t>
      </w:r>
    </w:p>
    <w:p w:rsidR="0084009B" w:rsidRDefault="0084009B" w:rsidP="00A461F3">
      <w:pPr>
        <w:spacing w:line="560" w:lineRule="exact"/>
        <w:jc w:val="center"/>
        <w:rPr>
          <w:rFonts w:ascii="方正小标宋简体" w:eastAsia="方正小标宋简体" w:hAnsi="方正小标宋简体" w:cs="Times New Roman"/>
          <w:sz w:val="44"/>
          <w:szCs w:val="44"/>
        </w:rPr>
      </w:pPr>
    </w:p>
    <w:p w:rsidR="0084009B" w:rsidRDefault="0084009B" w:rsidP="00A461F3">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新庙镇党政综合办公室</w:t>
      </w:r>
    </w:p>
    <w:p w:rsidR="0084009B" w:rsidRDefault="0084009B" w:rsidP="00A461F3">
      <w:pPr>
        <w:spacing w:line="560" w:lineRule="exact"/>
        <w:jc w:val="center"/>
        <w:rPr>
          <w:rFonts w:ascii="方正小标宋简体" w:eastAsia="方正小标宋简体" w:hAnsi="仿宋" w:cs="Times New Roman"/>
          <w:sz w:val="44"/>
          <w:szCs w:val="44"/>
        </w:rPr>
      </w:pPr>
      <w:r>
        <w:rPr>
          <w:rFonts w:ascii="方正小标宋简体" w:eastAsia="方正小标宋简体" w:hAnsi="仿宋" w:cs="方正小标宋简体" w:hint="eastAsia"/>
          <w:sz w:val="44"/>
          <w:szCs w:val="44"/>
        </w:rPr>
        <w:t>关于印发《</w:t>
      </w:r>
      <w:r w:rsidRPr="00DB4A48">
        <w:rPr>
          <w:rFonts w:ascii="方正小标宋简体" w:eastAsia="方正小标宋简体" w:hAnsi="仿宋" w:cs="方正小标宋简体" w:hint="eastAsia"/>
          <w:sz w:val="44"/>
          <w:szCs w:val="44"/>
        </w:rPr>
        <w:t>新庙镇巩固国家卫生城市长效管理</w:t>
      </w:r>
    </w:p>
    <w:p w:rsidR="0084009B" w:rsidRDefault="0084009B" w:rsidP="00A461F3">
      <w:pPr>
        <w:spacing w:line="560" w:lineRule="exact"/>
        <w:jc w:val="center"/>
        <w:rPr>
          <w:rFonts w:ascii="仿宋" w:eastAsia="仿宋" w:hAnsi="仿宋" w:cs="Times New Roman"/>
          <w:sz w:val="44"/>
          <w:szCs w:val="44"/>
        </w:rPr>
      </w:pPr>
      <w:r w:rsidRPr="00DB4A48">
        <w:rPr>
          <w:rFonts w:ascii="方正小标宋简体" w:eastAsia="方正小标宋简体" w:hAnsi="仿宋" w:cs="方正小标宋简体" w:hint="eastAsia"/>
          <w:sz w:val="44"/>
          <w:szCs w:val="44"/>
        </w:rPr>
        <w:t>工作实施方案</w:t>
      </w:r>
      <w:r>
        <w:rPr>
          <w:rFonts w:ascii="方正小标宋简体" w:eastAsia="方正小标宋简体" w:hAnsi="仿宋" w:cs="方正小标宋简体" w:hint="eastAsia"/>
          <w:sz w:val="44"/>
          <w:szCs w:val="44"/>
        </w:rPr>
        <w:t>》的通知</w:t>
      </w:r>
    </w:p>
    <w:p w:rsidR="0084009B" w:rsidRDefault="0084009B" w:rsidP="00A461F3">
      <w:pPr>
        <w:spacing w:line="560" w:lineRule="exact"/>
        <w:rPr>
          <w:rFonts w:ascii="方正小标宋简体" w:eastAsia="方正小标宋简体" w:hAnsi="方正小标宋简体" w:cs="Times New Roman"/>
          <w:sz w:val="44"/>
          <w:szCs w:val="44"/>
        </w:rPr>
      </w:pPr>
    </w:p>
    <w:p w:rsidR="0084009B" w:rsidRDefault="0084009B" w:rsidP="00A461F3">
      <w:pPr>
        <w:spacing w:line="560" w:lineRule="exact"/>
        <w:rPr>
          <w:rFonts w:ascii="仿宋_GB2312" w:eastAsia="仿宋_GB2312" w:cs="Times New Roman"/>
          <w:sz w:val="32"/>
          <w:szCs w:val="32"/>
        </w:rPr>
      </w:pPr>
      <w:r>
        <w:rPr>
          <w:rFonts w:ascii="仿宋_GB2312" w:eastAsia="仿宋_GB2312" w:cs="仿宋_GB2312" w:hint="eastAsia"/>
          <w:sz w:val="32"/>
          <w:szCs w:val="32"/>
        </w:rPr>
        <w:t>各村、英山社区、各相关部门：</w:t>
      </w:r>
    </w:p>
    <w:p w:rsidR="0084009B" w:rsidRDefault="0084009B" w:rsidP="004E0A52">
      <w:pPr>
        <w:spacing w:line="560" w:lineRule="exact"/>
        <w:ind w:firstLineChars="200" w:firstLine="31680"/>
        <w:rPr>
          <w:rFonts w:ascii="仿宋_GB2312" w:eastAsia="仿宋_GB2312" w:hAnsi="仿宋_GB2312" w:cs="Times New Roman"/>
          <w:sz w:val="32"/>
          <w:szCs w:val="32"/>
        </w:rPr>
      </w:pPr>
      <w:r>
        <w:rPr>
          <w:rFonts w:ascii="仿宋_GB2312" w:eastAsia="仿宋_GB2312" w:cs="仿宋_GB2312" w:hint="eastAsia"/>
          <w:sz w:val="32"/>
          <w:szCs w:val="32"/>
        </w:rPr>
        <w:t>经研究，现将《</w:t>
      </w:r>
      <w:r w:rsidRPr="00DB4A48">
        <w:rPr>
          <w:rFonts w:ascii="仿宋_GB2312" w:eastAsia="仿宋_GB2312" w:cs="仿宋_GB2312" w:hint="eastAsia"/>
          <w:sz w:val="32"/>
          <w:szCs w:val="32"/>
        </w:rPr>
        <w:t>新庙镇巩固国家卫生城市长效管理工作实施方案</w:t>
      </w:r>
      <w:r>
        <w:rPr>
          <w:rFonts w:ascii="仿宋_GB2312" w:eastAsia="仿宋_GB2312" w:cs="仿宋_GB2312" w:hint="eastAsia"/>
          <w:sz w:val="32"/>
          <w:szCs w:val="32"/>
        </w:rPr>
        <w:t>》印发给你们，请遵照执行。</w:t>
      </w:r>
    </w:p>
    <w:p w:rsidR="0084009B" w:rsidRDefault="0084009B" w:rsidP="00A461F3">
      <w:pPr>
        <w:pStyle w:val="Style3"/>
        <w:spacing w:line="560" w:lineRule="exact"/>
        <w:rPr>
          <w:rFonts w:ascii="仿宋_GB2312" w:eastAsia="仿宋_GB2312" w:hAnsi="仿宋_GB2312"/>
          <w:sz w:val="32"/>
          <w:szCs w:val="32"/>
        </w:rPr>
      </w:pPr>
    </w:p>
    <w:p w:rsidR="0084009B" w:rsidRDefault="0084009B" w:rsidP="00A461F3">
      <w:pPr>
        <w:pStyle w:val="Style3"/>
        <w:spacing w:line="560" w:lineRule="exact"/>
        <w:rPr>
          <w:rFonts w:ascii="仿宋_GB2312" w:eastAsia="仿宋_GB2312" w:hAnsi="仿宋_GB2312"/>
          <w:sz w:val="32"/>
          <w:szCs w:val="32"/>
        </w:rPr>
      </w:pPr>
    </w:p>
    <w:p w:rsidR="0084009B" w:rsidRDefault="0084009B" w:rsidP="00A461F3">
      <w:pPr>
        <w:pStyle w:val="Style3"/>
        <w:spacing w:line="560" w:lineRule="exact"/>
        <w:rPr>
          <w:rFonts w:ascii="仿宋_GB2312" w:eastAsia="仿宋_GB2312" w:hAnsi="仿宋_GB2312"/>
          <w:sz w:val="32"/>
          <w:szCs w:val="32"/>
        </w:rPr>
      </w:pPr>
    </w:p>
    <w:p w:rsidR="0084009B" w:rsidRDefault="0084009B" w:rsidP="00A461F3">
      <w:pPr>
        <w:spacing w:line="560" w:lineRule="exact"/>
        <w:jc w:val="cente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新庙镇党政综合办公室</w:t>
      </w:r>
    </w:p>
    <w:p w:rsidR="0084009B" w:rsidRDefault="0084009B" w:rsidP="00A461F3">
      <w:pPr>
        <w:pStyle w:val="Style3"/>
        <w:spacing w:line="560" w:lineRule="exact"/>
        <w:rPr>
          <w:rFonts w:ascii="仿宋_GB2312" w:eastAsia="仿宋_GB2312" w:hAnsi="仿宋_GB2312"/>
          <w:sz w:val="32"/>
          <w:szCs w:val="32"/>
        </w:rPr>
      </w:pPr>
      <w:r>
        <w:rPr>
          <w:rFonts w:ascii="仿宋_GB2312" w:eastAsia="仿宋_GB2312" w:hAnsi="仿宋_GB2312" w:cs="仿宋_GB2312"/>
          <w:sz w:val="32"/>
          <w:szCs w:val="32"/>
        </w:rPr>
        <w:t xml:space="preserve">                               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22</w:t>
      </w:r>
      <w:r>
        <w:rPr>
          <w:rFonts w:ascii="仿宋_GB2312" w:eastAsia="仿宋_GB2312" w:hAnsi="仿宋_GB2312" w:cs="仿宋_GB2312" w:hint="eastAsia"/>
          <w:sz w:val="32"/>
          <w:szCs w:val="32"/>
        </w:rPr>
        <w:t>日</w:t>
      </w:r>
    </w:p>
    <w:p w:rsidR="0084009B" w:rsidRDefault="0084009B" w:rsidP="00A461F3">
      <w:pPr>
        <w:pStyle w:val="Style3"/>
        <w:spacing w:line="560" w:lineRule="exact"/>
        <w:rPr>
          <w:rFonts w:ascii="仿宋_GB2312" w:eastAsia="仿宋_GB2312" w:hAnsi="仿宋_GB2312"/>
          <w:sz w:val="32"/>
          <w:szCs w:val="32"/>
        </w:rPr>
      </w:pPr>
    </w:p>
    <w:p w:rsidR="0084009B" w:rsidRDefault="0084009B" w:rsidP="00A461F3">
      <w:pPr>
        <w:spacing w:line="560" w:lineRule="exact"/>
        <w:jc w:val="both"/>
        <w:rPr>
          <w:rFonts w:ascii="仿宋_GB2312" w:eastAsia="仿宋_GB2312" w:hAnsi="仿宋_GB2312" w:cs="Times New Roman"/>
          <w:sz w:val="32"/>
          <w:szCs w:val="32"/>
        </w:rPr>
      </w:pPr>
    </w:p>
    <w:p w:rsidR="0084009B" w:rsidRDefault="0084009B">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新庙镇巩固国家卫生城市长效管理</w:t>
      </w:r>
    </w:p>
    <w:p w:rsidR="0084009B" w:rsidRDefault="0084009B">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工作实施方案</w:t>
      </w:r>
    </w:p>
    <w:p w:rsidR="0084009B" w:rsidRDefault="0084009B">
      <w:pPr>
        <w:spacing w:line="560" w:lineRule="exact"/>
        <w:rPr>
          <w:rFonts w:cs="Times New Roman"/>
          <w:sz w:val="32"/>
          <w:szCs w:val="32"/>
        </w:rPr>
      </w:pP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为巩固提升国家卫生城市工作成果，根据市、区文件精神，结合我镇实际，现制定工作实施方案如下：</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一、指导思想</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深入贯彻习近平总书记关于爱国卫生工作的重要指示批示精神，按照国务院《关于深入开展爱国卫生运动的意见》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国卫发〔</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新版《国家卫生城镇评审管理办法》的要求，坚持以人民健康为中心，由政府主导，跨部门协作，全社会动员，预防为主、群防群控，坚持将健康融入所有政策工作理念，丰富工作内涵，创新方式方法，广泛开展爱国卫生运动，标本兼治，重在长效，进一步建立健全国家卫生城市长效管理机制，巩固创卫成果，不断改善人居环境，提升城市功能品质，增强城市综合实力，加快推进“健康鄂州”建设新目标，再创城市管理新台阶。</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二、工作目标</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按照</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新版《国家卫生城镇评审管理办法》、《国家卫生城市和国家卫生县标准》和《国家卫生乡镇标准》，适应爱国卫生工作面临的新形势、新要求，扎实做好国家卫生城市复审由固定时间段调整为命名后的三年内由全国爱卫会随机抽查复审的各项考核工作，进一步明确工作职责，完善常态化管理机制，提高城市管理精细化、规范化、科学化水平，将巩固创卫成果工作，从行政推动向制度保障转变，从突击治理向日常监管转变，构建完善卫生健康综合管理体系，提升我镇经济社会运行质量和发展活力。</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三、职责分工</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根据</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年新版国家卫生城市标准，结合各村、社区及各部门职责和我镇工作实际成立新庙镇国家卫生城市长效管理工作领导小组，下设</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个工作组，分别是爱国卫生组织管理组</w:t>
      </w:r>
      <w:r>
        <w:rPr>
          <w:rFonts w:ascii="仿宋_GB2312" w:eastAsia="仿宋_GB2312" w:hAnsi="仿宋_GB2312" w:cs="仿宋_GB2312"/>
          <w:sz w:val="32"/>
          <w:szCs w:val="32"/>
        </w:rPr>
        <w:t>(</w:t>
      </w:r>
      <w:r>
        <w:rPr>
          <w:rFonts w:ascii="仿宋_GB2312" w:eastAsia="仿宋_GB2312" w:hAnsi="仿宋_GB2312" w:cs="仿宋_GB2312" w:hint="eastAsia"/>
          <w:b/>
          <w:bCs/>
          <w:sz w:val="32"/>
          <w:szCs w:val="32"/>
        </w:rPr>
        <w:t>牵头单位</w:t>
      </w:r>
      <w:r>
        <w:rPr>
          <w:rFonts w:ascii="仿宋_GB2312" w:eastAsia="仿宋_GB2312" w:hAnsi="仿宋_GB2312" w:cs="仿宋_GB2312" w:hint="eastAsia"/>
          <w:sz w:val="32"/>
          <w:szCs w:val="32"/>
        </w:rPr>
        <w:t>：镇卫健办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、健康教育和健康促进组</w:t>
      </w:r>
      <w:r>
        <w:rPr>
          <w:rFonts w:ascii="仿宋_GB2312" w:eastAsia="仿宋_GB2312" w:hAnsi="仿宋_GB2312" w:cs="仿宋_GB2312"/>
          <w:sz w:val="32"/>
          <w:szCs w:val="32"/>
        </w:rPr>
        <w:t>(</w:t>
      </w:r>
      <w:r>
        <w:rPr>
          <w:rFonts w:ascii="仿宋_GB2312" w:eastAsia="仿宋_GB2312" w:hAnsi="仿宋_GB2312" w:cs="仿宋_GB2312" w:hint="eastAsia"/>
          <w:b/>
          <w:bCs/>
          <w:sz w:val="32"/>
          <w:szCs w:val="32"/>
        </w:rPr>
        <w:t>牵头单位</w:t>
      </w:r>
      <w:r>
        <w:rPr>
          <w:rFonts w:ascii="仿宋_GB2312" w:eastAsia="仿宋_GB2312" w:hAnsi="仿宋_GB2312" w:cs="仿宋_GB2312" w:hint="eastAsia"/>
          <w:sz w:val="32"/>
          <w:szCs w:val="32"/>
        </w:rPr>
        <w:t>：镇文明创建办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、市容环境卫生组</w:t>
      </w:r>
      <w:r>
        <w:rPr>
          <w:rFonts w:ascii="仿宋_GB2312" w:eastAsia="仿宋_GB2312" w:hAnsi="仿宋_GB2312" w:cs="仿宋_GB2312"/>
          <w:sz w:val="32"/>
          <w:szCs w:val="32"/>
        </w:rPr>
        <w:t>(</w:t>
      </w:r>
      <w:r>
        <w:rPr>
          <w:rFonts w:ascii="仿宋_GB2312" w:eastAsia="仿宋_GB2312" w:hAnsi="仿宋_GB2312" w:cs="仿宋_GB2312" w:hint="eastAsia"/>
          <w:b/>
          <w:bCs/>
          <w:sz w:val="32"/>
          <w:szCs w:val="32"/>
        </w:rPr>
        <w:t>牵头单位</w:t>
      </w:r>
      <w:r>
        <w:rPr>
          <w:rFonts w:ascii="仿宋_GB2312" w:eastAsia="仿宋_GB2312" w:hAnsi="仿宋_GB2312" w:cs="仿宋_GB2312" w:hint="eastAsia"/>
          <w:sz w:val="32"/>
          <w:szCs w:val="32"/>
        </w:rPr>
        <w:t>：镇村镇社会服务中心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、生态环境组</w:t>
      </w:r>
      <w:r>
        <w:rPr>
          <w:rFonts w:ascii="仿宋_GB2312" w:eastAsia="仿宋_GB2312" w:hAnsi="仿宋_GB2312" w:cs="仿宋_GB2312"/>
          <w:sz w:val="32"/>
          <w:szCs w:val="32"/>
        </w:rPr>
        <w:t>(</w:t>
      </w:r>
      <w:r>
        <w:rPr>
          <w:rFonts w:ascii="仿宋_GB2312" w:eastAsia="仿宋_GB2312" w:hAnsi="仿宋_GB2312" w:cs="仿宋_GB2312" w:hint="eastAsia"/>
          <w:b/>
          <w:bCs/>
          <w:sz w:val="32"/>
          <w:szCs w:val="32"/>
        </w:rPr>
        <w:t>牵头单位</w:t>
      </w:r>
      <w:r>
        <w:rPr>
          <w:rFonts w:ascii="仿宋_GB2312" w:eastAsia="仿宋_GB2312" w:hAnsi="仿宋_GB2312" w:cs="仿宋_GB2312" w:hint="eastAsia"/>
          <w:sz w:val="32"/>
          <w:szCs w:val="32"/>
        </w:rPr>
        <w:t>：镇环保办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、重点场所卫生组</w:t>
      </w:r>
      <w:r>
        <w:rPr>
          <w:rFonts w:ascii="仿宋_GB2312" w:eastAsia="仿宋_GB2312" w:hAnsi="仿宋_GB2312" w:cs="仿宋_GB2312"/>
          <w:sz w:val="32"/>
          <w:szCs w:val="32"/>
        </w:rPr>
        <w:t>(</w:t>
      </w:r>
      <w:r>
        <w:rPr>
          <w:rFonts w:ascii="仿宋_GB2312" w:eastAsia="仿宋_GB2312" w:hAnsi="仿宋_GB2312" w:cs="仿宋_GB2312" w:hint="eastAsia"/>
          <w:b/>
          <w:bCs/>
          <w:sz w:val="32"/>
          <w:szCs w:val="32"/>
        </w:rPr>
        <w:t>牵头单位</w:t>
      </w:r>
      <w:r>
        <w:rPr>
          <w:rFonts w:ascii="仿宋_GB2312" w:eastAsia="仿宋_GB2312" w:hAnsi="仿宋_GB2312" w:cs="仿宋_GB2312" w:hint="eastAsia"/>
          <w:sz w:val="32"/>
          <w:szCs w:val="32"/>
        </w:rPr>
        <w:t>：新庙市场监管所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、食品和生活饮用水安全组</w:t>
      </w:r>
      <w:r>
        <w:rPr>
          <w:rFonts w:ascii="仿宋_GB2312" w:eastAsia="仿宋_GB2312" w:hAnsi="仿宋_GB2312" w:cs="仿宋_GB2312"/>
          <w:sz w:val="32"/>
          <w:szCs w:val="32"/>
        </w:rPr>
        <w:t>(</w:t>
      </w:r>
      <w:r>
        <w:rPr>
          <w:rFonts w:ascii="仿宋_GB2312" w:eastAsia="仿宋_GB2312" w:hAnsi="仿宋_GB2312" w:cs="仿宋_GB2312" w:hint="eastAsia"/>
          <w:b/>
          <w:bCs/>
          <w:sz w:val="32"/>
          <w:szCs w:val="32"/>
        </w:rPr>
        <w:t>牵头单位</w:t>
      </w:r>
      <w:r>
        <w:rPr>
          <w:rFonts w:ascii="仿宋_GB2312" w:eastAsia="仿宋_GB2312" w:hAnsi="仿宋_GB2312" w:cs="仿宋_GB2312" w:hint="eastAsia"/>
          <w:sz w:val="32"/>
          <w:szCs w:val="32"/>
        </w:rPr>
        <w:t>：新庙市场监管所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、疾病防控与医疗卫生服务组</w:t>
      </w:r>
      <w:r>
        <w:rPr>
          <w:rFonts w:ascii="仿宋_GB2312" w:eastAsia="仿宋_GB2312" w:hAnsi="仿宋_GB2312" w:cs="仿宋_GB2312"/>
          <w:sz w:val="32"/>
          <w:szCs w:val="32"/>
        </w:rPr>
        <w:t>(</w:t>
      </w:r>
      <w:r>
        <w:rPr>
          <w:rFonts w:ascii="仿宋_GB2312" w:eastAsia="仿宋_GB2312" w:hAnsi="仿宋_GB2312" w:cs="仿宋_GB2312" w:hint="eastAsia"/>
          <w:b/>
          <w:bCs/>
          <w:sz w:val="32"/>
          <w:szCs w:val="32"/>
        </w:rPr>
        <w:t>牵头单位</w:t>
      </w:r>
      <w:r>
        <w:rPr>
          <w:rFonts w:ascii="仿宋_GB2312" w:eastAsia="仿宋_GB2312" w:hAnsi="仿宋_GB2312" w:cs="仿宋_GB2312" w:hint="eastAsia"/>
          <w:sz w:val="32"/>
          <w:szCs w:val="32"/>
        </w:rPr>
        <w:t>：镇卫生院</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四、工作措施</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一</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落实长效管理。一是</w:t>
      </w:r>
      <w:r>
        <w:rPr>
          <w:rFonts w:ascii="仿宋_GB2312" w:eastAsia="仿宋_GB2312" w:hAnsi="仿宋_GB2312" w:cs="仿宋_GB2312" w:hint="eastAsia"/>
          <w:sz w:val="32"/>
          <w:szCs w:val="32"/>
        </w:rPr>
        <w:t>落实例会制度。镇爱卫办每年定期</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半年、全年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召开专题会议，研究和部署国家卫生城市长效管理工作。</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落实督查制度。镇爱卫办坚持对全镇各村、社区及相关部门巩固国家卫生城市创建成果进行督导检查，实行季督查。</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落实考评制度。把国家卫生城市长效管理工作纳入年度目标综合考核范围，年底对各乡村、社区进行综合考评打分。</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二</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实行分级管理。</w:t>
      </w:r>
      <w:r>
        <w:rPr>
          <w:rFonts w:ascii="仿宋_GB2312" w:eastAsia="仿宋_GB2312" w:hAnsi="仿宋_GB2312" w:cs="仿宋_GB2312" w:hint="eastAsia"/>
          <w:sz w:val="32"/>
          <w:szCs w:val="32"/>
        </w:rPr>
        <w:t>制定镇内年度工作计划、目标、措施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建立健全长效管理机制，全面巩固提升国家卫生城市各项指标。各组牵头单位、责任单位负责研究本行业监督管理规范，建立健全长效管理机制，加强行业指导和监督执法，实行“定格、定员、定岗、定责”的四定原则，建立镇干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社区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干部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小组长</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网格员的“横向到边，纵向到底”的网格化管理责任体系。各单位对所负责的行业领域</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每月进行巡查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对发现的问题进行及时反馈、督办或协调整改。</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三</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落实健康政策。</w:t>
      </w:r>
      <w:r>
        <w:rPr>
          <w:rFonts w:ascii="仿宋_GB2312" w:eastAsia="仿宋_GB2312" w:hAnsi="仿宋_GB2312" w:cs="仿宋_GB2312" w:hint="eastAsia"/>
          <w:sz w:val="32"/>
          <w:szCs w:val="32"/>
        </w:rPr>
        <w:t>探索建立健康影响评估制度，推动将健康融入所有政策，把全生命周期健康管理理念贯穿镇级规划、建设和管理全过程各环节。</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四</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加强档案管理。</w:t>
      </w:r>
      <w:r>
        <w:rPr>
          <w:rFonts w:ascii="仿宋_GB2312" w:eastAsia="仿宋_GB2312" w:hAnsi="仿宋_GB2312" w:cs="仿宋_GB2312" w:hint="eastAsia"/>
          <w:sz w:val="32"/>
          <w:szCs w:val="32"/>
        </w:rPr>
        <w:t>各村、社区、各部门要按照《国家卫生城市和国家卫生县标准》，做好相关资料的收集整理和归档工作。各牵头单位要对照卫生城市新标准，组织各相关责任单位和建立工作台账，每年分类装印成册备检。</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五</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畅通投诉渠道。</w:t>
      </w:r>
      <w:r>
        <w:rPr>
          <w:rFonts w:ascii="仿宋_GB2312" w:eastAsia="仿宋_GB2312" w:hAnsi="仿宋_GB2312" w:cs="仿宋_GB2312" w:hint="eastAsia"/>
          <w:sz w:val="32"/>
          <w:szCs w:val="32"/>
        </w:rPr>
        <w:t>公布新庙镇国家卫生城市长效管理群众投诉受理电话（</w:t>
      </w:r>
      <w:r>
        <w:rPr>
          <w:rFonts w:ascii="仿宋_GB2312" w:eastAsia="仿宋_GB2312" w:hAnsi="仿宋_GB2312" w:cs="仿宋_GB2312"/>
          <w:sz w:val="32"/>
          <w:szCs w:val="32"/>
        </w:rPr>
        <w:t>027-2757532</w:t>
      </w:r>
      <w:r>
        <w:rPr>
          <w:rFonts w:ascii="仿宋_GB2312" w:eastAsia="仿宋_GB2312" w:hAnsi="仿宋_GB2312" w:cs="仿宋_GB2312" w:hint="eastAsia"/>
          <w:sz w:val="32"/>
          <w:szCs w:val="32"/>
        </w:rPr>
        <w:t>），认真受理群众投诉，积极听取群众对城市环境卫生管理的意见和建议，及时核实和解决群众反映的问题，确保群众对城市卫生状况满意率保持在</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以上。</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五、工作要求</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一</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加强领导，形成合力。</w:t>
      </w:r>
      <w:r>
        <w:rPr>
          <w:rFonts w:ascii="仿宋_GB2312" w:eastAsia="仿宋_GB2312" w:hAnsi="仿宋_GB2312" w:cs="仿宋_GB2312" w:hint="eastAsia"/>
          <w:sz w:val="32"/>
          <w:szCs w:val="32"/>
        </w:rPr>
        <w:t>各村、社区、各部门要加强对国家卫生城市长效管理工作的组织领导，实行“一把手负总责”的工作机制，主要领导负总责，分管领导具体抓，组建工作专班，细化工作程序，把各项工作落实到具体责任人，认真做好本辖区和本部门的长效管理工作。</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二</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查缺补漏，狠抓整改。</w:t>
      </w:r>
      <w:r>
        <w:rPr>
          <w:rFonts w:ascii="仿宋_GB2312" w:eastAsia="仿宋_GB2312" w:hAnsi="仿宋_GB2312" w:cs="仿宋_GB2312" w:hint="eastAsia"/>
          <w:sz w:val="32"/>
          <w:szCs w:val="32"/>
        </w:rPr>
        <w:t>各村、社区、各部门要严格对照</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年新版《国家卫生城市和国家卫生县标准》要求，认真开展自查，深入查找存在问题，对存在的问题要抓紧落实整改措施，确保各项指标达标。重点要抓好以下几项工作：</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突出城乡环境卫生的薄弱环节，结合乡村振兴、美丽乡村建设、擦亮小城镇等工作，持续推进“厕所革命”，大力实施村庄清洁行动，深入持久开展农村人居环境整治和“万人洁城、万人洁河”等活动。以背街小巷、建筑工地等为重点，落实病媒生物防制措施，推进城乡环境卫生综合整治，建立健全环境卫生管理长效机制。</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持续开展集贸市场整治行动，推进农贸市场合理布局、标准化建设和规范经营，全面禁止非法野生动物交易和活禽销售。各村、社区要落实农贸市场属地责任，明确农贸市场经营者管理责任，加强农贸市场内部及周边环境卫生整治。</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突出打好健康影响因素整治的硬仗。加强环境监测，聚焦空气、土壤、水污染问题，实施好专项整治行动。做好农村饮水安全巩固提升工作，强化从水源到水龙头全过程监管。</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突出打击食品药品违法犯罪行为，维护群众“舌尖上的安全”。建立健全评估评价制度，守住健康“红线”，从源头上消除影响健康的各种隐患。</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持续做好健康科普宣传，不断提升居民健康素养。</w:t>
      </w:r>
      <w:r>
        <w:rPr>
          <w:rFonts w:ascii="仿宋_GB2312" w:eastAsia="仿宋_GB2312" w:hAnsi="仿宋_GB2312" w:cs="仿宋_GB2312" w:hint="eastAsia"/>
          <w:b/>
          <w:bCs/>
          <w:sz w:val="32"/>
          <w:szCs w:val="32"/>
        </w:rPr>
        <w:t>六是</w:t>
      </w:r>
      <w:r>
        <w:rPr>
          <w:rFonts w:ascii="仿宋_GB2312" w:eastAsia="仿宋_GB2312" w:hAnsi="仿宋_GB2312" w:cs="仿宋_GB2312" w:hint="eastAsia"/>
          <w:sz w:val="32"/>
          <w:szCs w:val="32"/>
        </w:rPr>
        <w:t>开展病媒生物预防控制行动，重点行业和单位防蚊蝇、防鼠设施合格率达到</w:t>
      </w:r>
      <w:r>
        <w:rPr>
          <w:rFonts w:ascii="仿宋_GB2312" w:eastAsia="仿宋_GB2312" w:hAnsi="仿宋_GB2312" w:cs="仿宋_GB2312"/>
          <w:sz w:val="32"/>
          <w:szCs w:val="32"/>
        </w:rPr>
        <w:t>95%</w:t>
      </w:r>
      <w:r>
        <w:rPr>
          <w:rFonts w:ascii="仿宋_GB2312" w:eastAsia="仿宋_GB2312" w:hAnsi="仿宋_GB2312" w:cs="仿宋_GB2312" w:hint="eastAsia"/>
          <w:sz w:val="32"/>
          <w:szCs w:val="32"/>
        </w:rPr>
        <w:t>以上，鼠、蚊、蝇、蟑螂的密度达到国家病媒生物密度控制水平以上</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级以上。</w:t>
      </w:r>
      <w:r>
        <w:rPr>
          <w:rFonts w:ascii="仿宋_GB2312" w:eastAsia="仿宋_GB2312" w:hAnsi="仿宋_GB2312" w:cs="仿宋_GB2312" w:hint="eastAsia"/>
          <w:b/>
          <w:bCs/>
          <w:sz w:val="32"/>
          <w:szCs w:val="32"/>
        </w:rPr>
        <w:t>七是</w:t>
      </w:r>
      <w:r>
        <w:rPr>
          <w:rFonts w:ascii="仿宋_GB2312" w:eastAsia="仿宋_GB2312" w:hAnsi="仿宋_GB2312" w:cs="仿宋_GB2312" w:hint="eastAsia"/>
          <w:sz w:val="32"/>
          <w:szCs w:val="32"/>
        </w:rPr>
        <w:t>开展公共场所及“五小”行业整治行动，各类公共场所卫生许可手续齐全有效，建立健全卫生管理，禁止在公共场所吸烟。</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三</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强化监督，确保实效。</w:t>
      </w:r>
      <w:r>
        <w:rPr>
          <w:rFonts w:ascii="仿宋_GB2312" w:eastAsia="仿宋_GB2312" w:hAnsi="仿宋_GB2312" w:cs="仿宋_GB2312" w:hint="eastAsia"/>
          <w:sz w:val="32"/>
          <w:szCs w:val="32"/>
        </w:rPr>
        <w:t>各村、社区、各部门要强化责任落实，镇爱卫办要建立检查评比制度和通报制度，表扬先进，督促后进。同时要畅通群众监督渠道，广泛听取群众意见。针对发现的问题要明确完成时限和标准，实行清单管理、挂牌销号等制度。</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四</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加大宣传，营造氛围。</w:t>
      </w:r>
      <w:r>
        <w:rPr>
          <w:rFonts w:ascii="仿宋_GB2312" w:eastAsia="仿宋_GB2312" w:hAnsi="仿宋_GB2312" w:cs="仿宋_GB2312" w:hint="eastAsia"/>
          <w:sz w:val="32"/>
          <w:szCs w:val="32"/>
        </w:rPr>
        <w:t>各村、社区、各部门要充分发挥舆论导向的作用，利用宣传阵地发布文明健康与绿色环保等相关内容的宣传标语，刊播巩固国家卫生城市成果为主题的新闻稿件及公益宣传广告，进一步提高广大群众知晓率和参与率，营造浓厚氛围。</w:t>
      </w:r>
    </w:p>
    <w:p w:rsidR="0084009B" w:rsidRDefault="0084009B" w:rsidP="004E0A52">
      <w:pPr>
        <w:spacing w:line="560" w:lineRule="exact"/>
        <w:ind w:firstLineChars="200" w:firstLine="31680"/>
        <w:jc w:val="both"/>
        <w:rPr>
          <w:rFonts w:ascii="仿宋_GB2312" w:eastAsia="仿宋_GB2312" w:hAnsi="仿宋_GB2312" w:cs="Times New Roman"/>
          <w:sz w:val="32"/>
          <w:szCs w:val="32"/>
        </w:rPr>
      </w:pPr>
    </w:p>
    <w:p w:rsidR="0084009B" w:rsidRDefault="0084009B" w:rsidP="004E0A52">
      <w:pPr>
        <w:spacing w:line="560" w:lineRule="exact"/>
        <w:ind w:leftChars="304" w:left="31680" w:hangingChars="4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新庙镇巩固国家卫生城市长效管理工作职责分工表</w:t>
      </w:r>
    </w:p>
    <w:p w:rsidR="0084009B" w:rsidRDefault="0084009B" w:rsidP="004E0A52">
      <w:pPr>
        <w:spacing w:line="560" w:lineRule="exact"/>
        <w:ind w:firstLineChars="50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新庙镇国家卫生城市重点数据评价指标分解表</w:t>
      </w:r>
    </w:p>
    <w:p w:rsidR="0084009B" w:rsidRDefault="0084009B" w:rsidP="004E0A52">
      <w:pPr>
        <w:spacing w:line="560" w:lineRule="exact"/>
        <w:ind w:firstLineChars="500" w:firstLine="31680"/>
        <w:jc w:val="both"/>
        <w:rPr>
          <w:rFonts w:ascii="仿宋_GB2312" w:eastAsia="仿宋_GB2312" w:hAnsi="仿宋_GB2312" w:cs="Times New Roman"/>
          <w:sz w:val="32"/>
          <w:szCs w:val="32"/>
        </w:rPr>
      </w:pPr>
    </w:p>
    <w:p w:rsidR="0084009B" w:rsidRDefault="0084009B" w:rsidP="004E0A52">
      <w:pPr>
        <w:spacing w:line="560" w:lineRule="exact"/>
        <w:ind w:firstLineChars="500" w:firstLine="31680"/>
        <w:jc w:val="both"/>
        <w:rPr>
          <w:rFonts w:ascii="仿宋_GB2312" w:eastAsia="仿宋_GB2312" w:hAnsi="仿宋_GB2312" w:cs="Times New Roman"/>
          <w:sz w:val="32"/>
          <w:szCs w:val="32"/>
        </w:rPr>
      </w:pPr>
    </w:p>
    <w:p w:rsidR="0084009B" w:rsidRDefault="0084009B" w:rsidP="004E0A52">
      <w:pPr>
        <w:spacing w:line="560" w:lineRule="exact"/>
        <w:ind w:firstLineChars="500" w:firstLine="31680"/>
        <w:jc w:val="both"/>
        <w:rPr>
          <w:rFonts w:ascii="仿宋_GB2312" w:eastAsia="仿宋_GB2312" w:hAnsi="仿宋_GB2312" w:cs="Times New Roman"/>
          <w:sz w:val="32"/>
          <w:szCs w:val="32"/>
        </w:rPr>
      </w:pPr>
    </w:p>
    <w:p w:rsidR="0084009B" w:rsidRDefault="0084009B" w:rsidP="004E0A52">
      <w:pPr>
        <w:spacing w:line="560" w:lineRule="exact"/>
        <w:ind w:firstLineChars="500" w:firstLine="31680"/>
        <w:jc w:val="both"/>
        <w:rPr>
          <w:rFonts w:ascii="仿宋_GB2312" w:eastAsia="仿宋_GB2312" w:hAnsi="仿宋_GB2312" w:cs="Times New Roman"/>
          <w:sz w:val="32"/>
          <w:szCs w:val="32"/>
        </w:rPr>
      </w:pPr>
    </w:p>
    <w:p w:rsidR="0084009B" w:rsidRDefault="0084009B" w:rsidP="00954AC5">
      <w:pPr>
        <w:spacing w:line="440" w:lineRule="exact"/>
        <w:rPr>
          <w:rFonts w:ascii="仿宋_GB2312" w:eastAsia="仿宋_GB2312" w:hAnsi="宋体" w:cs="仿宋_GB2312"/>
          <w:sz w:val="32"/>
          <w:szCs w:val="32"/>
          <w:u w:val="single"/>
        </w:rPr>
      </w:pPr>
      <w:r>
        <w:rPr>
          <w:rFonts w:ascii="仿宋_GB2312" w:eastAsia="仿宋_GB2312" w:hAnsi="宋体" w:cs="仿宋_GB2312"/>
          <w:sz w:val="32"/>
          <w:szCs w:val="32"/>
          <w:u w:val="single"/>
        </w:rPr>
        <w:t xml:space="preserve">                                                       </w:t>
      </w:r>
    </w:p>
    <w:p w:rsidR="0084009B" w:rsidRDefault="0084009B" w:rsidP="00954AC5">
      <w:pPr>
        <w:spacing w:line="440" w:lineRule="exact"/>
        <w:rPr>
          <w:rFonts w:ascii="仿宋_GB2312" w:eastAsia="仿宋_GB2312" w:hAnsi="宋体" w:cs="Times New Roman"/>
          <w:sz w:val="32"/>
          <w:szCs w:val="32"/>
          <w:u w:val="single"/>
        </w:rPr>
      </w:pPr>
      <w:r>
        <w:rPr>
          <w:rFonts w:ascii="仿宋_GB2312" w:eastAsia="仿宋_GB2312" w:hAnsi="宋体" w:cs="仿宋_GB2312"/>
          <w:sz w:val="32"/>
          <w:szCs w:val="32"/>
          <w:u w:val="single"/>
        </w:rPr>
        <w:t xml:space="preserve">  </w:t>
      </w:r>
      <w:r>
        <w:rPr>
          <w:rFonts w:ascii="仿宋_GB2312" w:eastAsia="仿宋_GB2312" w:hAnsi="宋体" w:cs="仿宋_GB2312" w:hint="eastAsia"/>
          <w:sz w:val="28"/>
          <w:szCs w:val="28"/>
          <w:u w:val="single"/>
        </w:rPr>
        <w:t>新庙镇党政综合办公室</w:t>
      </w:r>
      <w:r>
        <w:rPr>
          <w:rFonts w:ascii="仿宋_GB2312" w:eastAsia="仿宋_GB2312" w:hAnsi="宋体" w:cs="仿宋_GB2312"/>
          <w:sz w:val="28"/>
          <w:szCs w:val="28"/>
          <w:u w:val="single"/>
        </w:rPr>
        <w:t xml:space="preserve">                      2023</w:t>
      </w:r>
      <w:r>
        <w:rPr>
          <w:rFonts w:ascii="仿宋_GB2312" w:eastAsia="仿宋_GB2312" w:hAnsi="宋体" w:cs="仿宋_GB2312" w:hint="eastAsia"/>
          <w:sz w:val="28"/>
          <w:szCs w:val="28"/>
          <w:u w:val="single"/>
        </w:rPr>
        <w:t>年</w:t>
      </w:r>
      <w:r>
        <w:rPr>
          <w:rFonts w:ascii="仿宋_GB2312" w:eastAsia="仿宋_GB2312" w:hAnsi="宋体" w:cs="仿宋_GB2312"/>
          <w:sz w:val="28"/>
          <w:szCs w:val="28"/>
          <w:u w:val="single"/>
        </w:rPr>
        <w:t>5</w:t>
      </w:r>
      <w:r>
        <w:rPr>
          <w:rFonts w:ascii="仿宋_GB2312" w:eastAsia="仿宋_GB2312" w:hAnsi="宋体" w:cs="仿宋_GB2312" w:hint="eastAsia"/>
          <w:sz w:val="28"/>
          <w:szCs w:val="28"/>
          <w:u w:val="single"/>
        </w:rPr>
        <w:t>月</w:t>
      </w:r>
      <w:r>
        <w:rPr>
          <w:rFonts w:ascii="仿宋_GB2312" w:eastAsia="仿宋_GB2312" w:hAnsi="宋体" w:cs="仿宋_GB2312"/>
          <w:sz w:val="28"/>
          <w:szCs w:val="28"/>
          <w:u w:val="single"/>
        </w:rPr>
        <w:t>22</w:t>
      </w:r>
      <w:r>
        <w:rPr>
          <w:rFonts w:ascii="仿宋_GB2312" w:eastAsia="仿宋_GB2312" w:hAnsi="宋体" w:cs="仿宋_GB2312" w:hint="eastAsia"/>
          <w:sz w:val="28"/>
          <w:szCs w:val="28"/>
          <w:u w:val="single"/>
        </w:rPr>
        <w:t>日印发</w:t>
      </w:r>
      <w:r>
        <w:rPr>
          <w:rFonts w:ascii="仿宋_GB2312" w:eastAsia="仿宋_GB2312" w:hAnsi="宋体" w:cs="仿宋_GB2312"/>
          <w:sz w:val="28"/>
          <w:szCs w:val="28"/>
          <w:u w:val="single"/>
        </w:rPr>
        <w:t xml:space="preserve">  </w:t>
      </w:r>
    </w:p>
    <w:p w:rsidR="0084009B" w:rsidRPr="00954AC5" w:rsidRDefault="0084009B" w:rsidP="004E0A52">
      <w:pPr>
        <w:spacing w:line="560" w:lineRule="exact"/>
        <w:ind w:firstLineChars="500" w:firstLine="31680"/>
        <w:jc w:val="both"/>
        <w:rPr>
          <w:rFonts w:ascii="仿宋" w:eastAsia="仿宋" w:hAnsi="仿宋" w:cs="Times New Roman"/>
          <w:sz w:val="32"/>
          <w:szCs w:val="32"/>
        </w:rPr>
        <w:sectPr w:rsidR="0084009B" w:rsidRPr="00954AC5">
          <w:footerReference w:type="default" r:id="rId6"/>
          <w:pgSz w:w="11906" w:h="16839"/>
          <w:pgMar w:top="2098" w:right="1474" w:bottom="1984" w:left="1587" w:header="0" w:footer="995" w:gutter="0"/>
          <w:cols w:space="720"/>
        </w:sectPr>
      </w:pPr>
    </w:p>
    <w:p w:rsidR="0084009B" w:rsidRDefault="0084009B">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84009B" w:rsidRDefault="0084009B">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新庙镇巩固国家卫生城市长效管理工作职责分工表</w:t>
      </w:r>
    </w:p>
    <w:p w:rsidR="0084009B" w:rsidRDefault="0084009B">
      <w:pPr>
        <w:spacing w:line="560" w:lineRule="exact"/>
        <w:rPr>
          <w:rFonts w:cs="Times New Roman"/>
        </w:rPr>
      </w:pPr>
    </w:p>
    <w:tbl>
      <w:tblPr>
        <w:tblW w:w="140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6"/>
        <w:gridCol w:w="6772"/>
        <w:gridCol w:w="2238"/>
        <w:gridCol w:w="4095"/>
      </w:tblGrid>
      <w:tr w:rsidR="0084009B">
        <w:tc>
          <w:tcPr>
            <w:tcW w:w="966" w:type="dxa"/>
            <w:vAlign w:val="center"/>
          </w:tcPr>
          <w:p w:rsidR="0084009B" w:rsidRPr="00DA2698" w:rsidRDefault="0084009B" w:rsidP="00DA2698">
            <w:pPr>
              <w:spacing w:line="560" w:lineRule="exact"/>
              <w:jc w:val="center"/>
              <w:rPr>
                <w:rFonts w:ascii="黑体" w:eastAsia="黑体" w:hAnsi="黑体" w:cs="Times New Roman"/>
                <w:sz w:val="28"/>
                <w:szCs w:val="28"/>
              </w:rPr>
            </w:pPr>
            <w:r w:rsidRPr="00DA2698">
              <w:rPr>
                <w:rFonts w:ascii="黑体" w:eastAsia="黑体" w:hAnsi="黑体" w:cs="黑体" w:hint="eastAsia"/>
                <w:sz w:val="28"/>
                <w:szCs w:val="28"/>
              </w:rPr>
              <w:t>项目</w:t>
            </w:r>
          </w:p>
        </w:tc>
        <w:tc>
          <w:tcPr>
            <w:tcW w:w="6773" w:type="dxa"/>
            <w:vAlign w:val="center"/>
          </w:tcPr>
          <w:p w:rsidR="0084009B" w:rsidRPr="00DA2698" w:rsidRDefault="0084009B" w:rsidP="00DA2698">
            <w:pPr>
              <w:spacing w:line="560" w:lineRule="exact"/>
              <w:jc w:val="center"/>
              <w:rPr>
                <w:rFonts w:ascii="黑体" w:eastAsia="黑体" w:hAnsi="黑体" w:cs="Times New Roman"/>
                <w:sz w:val="28"/>
                <w:szCs w:val="28"/>
              </w:rPr>
            </w:pPr>
            <w:r w:rsidRPr="00DA2698">
              <w:rPr>
                <w:rFonts w:ascii="黑体" w:eastAsia="黑体" w:hAnsi="黑体" w:cs="黑体"/>
                <w:sz w:val="28"/>
                <w:szCs w:val="28"/>
              </w:rPr>
              <w:t>(2021</w:t>
            </w:r>
            <w:r w:rsidRPr="00DA2698">
              <w:rPr>
                <w:rFonts w:ascii="黑体" w:eastAsia="黑体" w:hAnsi="黑体" w:cs="黑体" w:hint="eastAsia"/>
                <w:sz w:val="28"/>
                <w:szCs w:val="28"/>
              </w:rPr>
              <w:t>版</w:t>
            </w:r>
            <w:r w:rsidRPr="00DA2698">
              <w:rPr>
                <w:rFonts w:ascii="黑体" w:eastAsia="黑体" w:hAnsi="黑体" w:cs="黑体"/>
                <w:sz w:val="28"/>
                <w:szCs w:val="28"/>
              </w:rPr>
              <w:t>)</w:t>
            </w:r>
            <w:r w:rsidRPr="00DA2698">
              <w:rPr>
                <w:rFonts w:ascii="黑体" w:eastAsia="黑体" w:hAnsi="黑体" w:cs="黑体" w:hint="eastAsia"/>
                <w:sz w:val="28"/>
                <w:szCs w:val="28"/>
              </w:rPr>
              <w:t>国家卫生城市标准要求</w:t>
            </w:r>
          </w:p>
        </w:tc>
        <w:tc>
          <w:tcPr>
            <w:tcW w:w="2236" w:type="dxa"/>
            <w:vAlign w:val="center"/>
          </w:tcPr>
          <w:p w:rsidR="0084009B" w:rsidRPr="00DA2698" w:rsidRDefault="0084009B" w:rsidP="00DA2698">
            <w:pPr>
              <w:spacing w:line="560" w:lineRule="exact"/>
              <w:jc w:val="center"/>
              <w:rPr>
                <w:rFonts w:ascii="黑体" w:eastAsia="黑体" w:hAnsi="黑体" w:cs="Times New Roman"/>
                <w:sz w:val="28"/>
                <w:szCs w:val="28"/>
              </w:rPr>
            </w:pPr>
            <w:r w:rsidRPr="00DA2698">
              <w:rPr>
                <w:rFonts w:ascii="黑体" w:eastAsia="黑体" w:hAnsi="黑体" w:cs="黑体" w:hint="eastAsia"/>
                <w:sz w:val="28"/>
                <w:szCs w:val="28"/>
              </w:rPr>
              <w:t>牵头单位</w:t>
            </w:r>
          </w:p>
        </w:tc>
        <w:tc>
          <w:tcPr>
            <w:tcW w:w="4096" w:type="dxa"/>
            <w:vAlign w:val="center"/>
          </w:tcPr>
          <w:p w:rsidR="0084009B" w:rsidRPr="00DA2698" w:rsidRDefault="0084009B" w:rsidP="00DA2698">
            <w:pPr>
              <w:spacing w:line="560" w:lineRule="exact"/>
              <w:jc w:val="center"/>
              <w:rPr>
                <w:rFonts w:ascii="黑体" w:eastAsia="黑体" w:hAnsi="黑体" w:cs="Times New Roman"/>
                <w:sz w:val="28"/>
                <w:szCs w:val="28"/>
              </w:rPr>
            </w:pPr>
            <w:r w:rsidRPr="00DA2698">
              <w:rPr>
                <w:rFonts w:ascii="黑体" w:eastAsia="黑体" w:hAnsi="黑体" w:cs="黑体" w:hint="eastAsia"/>
                <w:sz w:val="28"/>
                <w:szCs w:val="28"/>
              </w:rPr>
              <w:t>责任单位</w:t>
            </w:r>
          </w:p>
        </w:tc>
      </w:tr>
      <w:tr w:rsidR="0084009B">
        <w:tc>
          <w:tcPr>
            <w:tcW w:w="966" w:type="dxa"/>
            <w:vMerge w:val="restart"/>
            <w:vAlign w:val="center"/>
          </w:tcPr>
          <w:p w:rsidR="0084009B" w:rsidRPr="00DA2698" w:rsidRDefault="0084009B" w:rsidP="00E34A2C">
            <w:pPr>
              <w:widowControl w:val="0"/>
              <w:jc w:val="center"/>
              <w:rPr>
                <w:rFonts w:ascii="仿宋_GB2312" w:eastAsia="仿宋_GB2312" w:hAnsi="仿宋_GB2312" w:cs="Times New Roman"/>
                <w:sz w:val="32"/>
                <w:szCs w:val="32"/>
              </w:rPr>
            </w:pP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爱</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国</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卫</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组</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织</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管</w:t>
            </w:r>
          </w:p>
          <w:p w:rsidR="0084009B" w:rsidRPr="00DA2698" w:rsidRDefault="0084009B" w:rsidP="00DA2698">
            <w:pPr>
              <w:widowControl w:val="0"/>
              <w:jc w:val="center"/>
              <w:rPr>
                <w:rFonts w:ascii="仿宋_GB2312" w:eastAsia="仿宋_GB2312" w:hAnsi="仿宋_GB2312" w:cs="Times New Roman"/>
                <w:sz w:val="32"/>
                <w:szCs w:val="32"/>
              </w:rPr>
            </w:pPr>
            <w:r w:rsidRPr="00DA2698">
              <w:rPr>
                <w:rFonts w:ascii="仿宋_GB2312" w:eastAsia="仿宋_GB2312" w:hAnsi="仿宋_GB2312" w:cs="仿宋_GB2312" w:hint="eastAsia"/>
                <w:sz w:val="28"/>
                <w:szCs w:val="28"/>
              </w:rPr>
              <w:t>理</w:t>
            </w:r>
          </w:p>
        </w:tc>
        <w:tc>
          <w:tcPr>
            <w:tcW w:w="6773" w:type="dxa"/>
            <w:vAlign w:val="center"/>
          </w:tcPr>
          <w:p w:rsidR="0084009B" w:rsidRDefault="0084009B" w:rsidP="00DA2698">
            <w:pPr>
              <w:spacing w:line="400" w:lineRule="exact"/>
              <w:jc w:val="both"/>
              <w:rPr>
                <w:rFonts w:cs="Times New Roman"/>
              </w:rPr>
            </w:pPr>
            <w:r w:rsidRPr="00DA2698">
              <w:rPr>
                <w:rFonts w:ascii="仿宋_GB2312" w:eastAsia="仿宋_GB2312" w:hAnsi="仿宋_GB2312" w:cs="仿宋_GB2312" w:hint="eastAsia"/>
                <w:sz w:val="24"/>
                <w:szCs w:val="24"/>
              </w:rPr>
              <w:t>（一）将爱国卫生工作纳入辖区各级党委和政府重要议事日程，列入经济社会发展规划，纳入政府绩效考核指标，有爱国卫生规范性文件。</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Default="0084009B" w:rsidP="00DA2698">
            <w:pPr>
              <w:spacing w:line="400" w:lineRule="exact"/>
              <w:jc w:val="both"/>
              <w:rPr>
                <w:rFonts w:cs="Times New Roman"/>
              </w:rPr>
            </w:pPr>
            <w:r w:rsidRPr="00DA2698">
              <w:rPr>
                <w:rFonts w:ascii="仿宋_GB2312" w:eastAsia="仿宋_GB2312" w:hAnsi="仿宋_GB2312" w:cs="仿宋_GB2312" w:hint="eastAsia"/>
                <w:sz w:val="24"/>
                <w:szCs w:val="24"/>
              </w:rPr>
              <w:t>（二）辖区内各级爱卫会组织健全，成员单位分工明确、职责落实。爱卫会办公室机构、职能、人员、经费等有保障。</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w:t>
            </w:r>
            <w:r>
              <w:rPr>
                <w:rFonts w:ascii="仿宋_GB2312" w:eastAsia="仿宋_GB2312" w:hAnsi="仿宋_GB2312" w:cs="仿宋_GB2312" w:hint="eastAsia"/>
                <w:sz w:val="24"/>
                <w:szCs w:val="24"/>
              </w:rPr>
              <w:t>财政所、</w:t>
            </w: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Default="0084009B" w:rsidP="00DA2698">
            <w:pPr>
              <w:spacing w:line="400" w:lineRule="exact"/>
              <w:jc w:val="both"/>
              <w:rPr>
                <w:rFonts w:cs="Times New Roman"/>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镇、村</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社区</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、机关、企事业单位要明确专兼职爱国卫生工作人员，村</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居</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民委员会要设置公共卫生委员会，推动落实好爱国卫生工作。</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Default="0084009B" w:rsidP="00DA2698">
            <w:pPr>
              <w:spacing w:line="400" w:lineRule="exact"/>
              <w:jc w:val="both"/>
              <w:rPr>
                <w:rFonts w:cs="Times New Roman"/>
              </w:rPr>
            </w:pPr>
            <w:r w:rsidRPr="00DA2698">
              <w:rPr>
                <w:rFonts w:ascii="仿宋_GB2312" w:eastAsia="仿宋_GB2312" w:hAnsi="仿宋_GB2312" w:cs="仿宋_GB2312" w:hint="eastAsia"/>
                <w:sz w:val="24"/>
                <w:szCs w:val="24"/>
              </w:rPr>
              <w:t>（三）爱国卫生工作年度有计划、有部署、有检查、有总结。开展基层卫生</w:t>
            </w:r>
            <w:r>
              <w:rPr>
                <w:rFonts w:ascii="仿宋_GB2312" w:eastAsia="仿宋_GB2312" w:hAnsi="仿宋_GB2312" w:cs="仿宋_GB2312" w:hint="eastAsia"/>
                <w:sz w:val="24"/>
                <w:szCs w:val="24"/>
              </w:rPr>
              <w:t>创建活动，鼓励辖区范围内的村、社区积极开展各级卫生村（社区）</w:t>
            </w:r>
            <w:r w:rsidRPr="00DA2698">
              <w:rPr>
                <w:rFonts w:ascii="仿宋_GB2312" w:eastAsia="仿宋_GB2312" w:hAnsi="仿宋_GB2312" w:cs="仿宋_GB2312" w:hint="eastAsia"/>
                <w:sz w:val="24"/>
                <w:szCs w:val="24"/>
              </w:rPr>
              <w:t>创建，逐步推进全域创建。广泛开展城乡群众性爱国卫生活动，各部门、各单位和广大群众积极参与</w:t>
            </w:r>
            <w:r>
              <w:rPr>
                <w:rFonts w:ascii="仿宋_GB2312" w:eastAsia="仿宋_GB2312" w:hAnsi="仿宋_GB2312" w:cs="仿宋_GB2312" w:hint="eastAsia"/>
                <w:sz w:val="24"/>
                <w:szCs w:val="24"/>
              </w:rPr>
              <w:t>，成效明显</w:t>
            </w:r>
            <w:r w:rsidRPr="00DA2698">
              <w:rPr>
                <w:rFonts w:ascii="仿宋_GB2312" w:eastAsia="仿宋_GB2312" w:hAnsi="仿宋_GB2312" w:cs="仿宋_GB2312" w:hint="eastAsia"/>
                <w:sz w:val="24"/>
                <w:szCs w:val="24"/>
              </w:rPr>
              <w:t>。</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党政办、各村、社区</w:t>
            </w:r>
          </w:p>
        </w:tc>
      </w:tr>
      <w:tr w:rsidR="0084009B">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爱</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国</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卫</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组</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织</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管</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理</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（四）</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探索建立健康影响评估制度，推动将健康融入所有政策，把全生命周期健康管理理念贯穿城市规划、建设和管理全过程各环节。</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4096" w:type="dxa"/>
            <w:vAlign w:val="center"/>
          </w:tcPr>
          <w:p w:rsidR="0084009B"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村镇社会服务中心、环保办、</w:t>
            </w:r>
            <w:bookmarkStart w:id="0" w:name="_GoBack"/>
            <w:bookmarkEnd w:id="0"/>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将应对突发公共卫生事件纳入国土空间规划和城市建设规划，并逐步建设完善相关设施。</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4096" w:type="dxa"/>
            <w:vAlign w:val="center"/>
          </w:tcPr>
          <w:p w:rsidR="0084009B" w:rsidRPr="00E34A2C"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应急办、国土所、村镇社会服务中心</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（五）畅通爱国卫生建议和投诉渠道，认真核实和解决群众反映的问题。群众对卫生状况满意。</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健</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康</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教</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育</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和</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健</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康</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促</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进</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（六）</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辖区内健康教育网络健全，利用健康科普专家库、资源库和报纸、电视、网络等主要媒体，广泛开展健康教育和健康促进活动，提升居民健康素养水平，倡导文明健康、绿色环保生活方式。大力普及中医养生保健知识和方法。各主要媒体设有健康教育栏目。</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w:t>
            </w:r>
            <w:r>
              <w:rPr>
                <w:rFonts w:ascii="仿宋_GB2312" w:eastAsia="仿宋_GB2312" w:hAnsi="仿宋_GB2312" w:cs="仿宋_GB2312" w:hint="eastAsia"/>
                <w:sz w:val="24"/>
                <w:szCs w:val="24"/>
              </w:rPr>
              <w:t>、</w:t>
            </w:r>
            <w:r w:rsidRPr="00DA2698">
              <w:rPr>
                <w:rFonts w:ascii="仿宋_GB2312" w:eastAsia="仿宋_GB2312" w:hAnsi="仿宋_GB2312" w:cs="仿宋_GB2312" w:hint="eastAsia"/>
                <w:sz w:val="24"/>
                <w:szCs w:val="24"/>
              </w:rPr>
              <w:t>各村、社区</w:t>
            </w:r>
          </w:p>
        </w:tc>
      </w:tr>
      <w:tr w:rsidR="0084009B">
        <w:trPr>
          <w:trHeight w:val="973"/>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车站、码头、广场和公园等公共场所设立的电子屏幕和公益广告等应当具有健康教育内容。</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Pr>
                <w:rFonts w:ascii="仿宋_GB2312" w:eastAsia="仿宋_GB2312" w:hAnsi="仿宋_GB2312" w:cs="仿宋_GB2312" w:hint="eastAsia"/>
                <w:sz w:val="24"/>
                <w:szCs w:val="24"/>
              </w:rPr>
              <w:t>（七）积极开展健康</w:t>
            </w:r>
            <w:r w:rsidRPr="00DA2698">
              <w:rPr>
                <w:rFonts w:ascii="仿宋_GB2312" w:eastAsia="仿宋_GB2312" w:hAnsi="仿宋_GB2312" w:cs="仿宋_GB2312" w:hint="eastAsia"/>
                <w:sz w:val="24"/>
                <w:szCs w:val="24"/>
              </w:rPr>
              <w:t>镇、健康村、健康社区、健康企业、健康机关、健康学校、健康促进医院、健康家庭等健康细胞建设。建设健康步道、健康主题公园等，推广“三减三健”等慢性病防控措施。</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4096" w:type="dxa"/>
            <w:vAlign w:val="center"/>
          </w:tcPr>
          <w:p w:rsidR="0084009B" w:rsidRDefault="0084009B" w:rsidP="00DA2698">
            <w:pPr>
              <w:spacing w:line="400" w:lineRule="exact"/>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党政办、经贸</w:t>
            </w:r>
            <w:r w:rsidRPr="00DA2698">
              <w:rPr>
                <w:rFonts w:ascii="仿宋_GB2312" w:eastAsia="仿宋_GB2312" w:hAnsi="仿宋_GB2312" w:cs="仿宋_GB2312" w:hint="eastAsia"/>
                <w:sz w:val="24"/>
                <w:szCs w:val="24"/>
              </w:rPr>
              <w:t>服务中心、卫生院、</w:t>
            </w:r>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中心学校、各村、社区</w:t>
            </w:r>
          </w:p>
        </w:tc>
      </w:tr>
      <w:tr w:rsidR="0084009B">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健</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康</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教</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育</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和</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健</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康</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促</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进</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八）统筹建设全民健身场地设施，构建更高水平的全民健身公共服务体系，满足人民群众经常性的体育锻炼需求。广泛开展全民健身活动，增进广大群众积极参加体育锻炼的意识，倡导居民维持健康体重。机关、企事业单位等落实工作场所工间操制度。</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4096" w:type="dxa"/>
            <w:vAlign w:val="center"/>
          </w:tcPr>
          <w:p w:rsidR="0084009B" w:rsidRDefault="0084009B" w:rsidP="00DA2698">
            <w:pPr>
              <w:spacing w:line="400" w:lineRule="exact"/>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党政办、经贸</w:t>
            </w:r>
            <w:r w:rsidRPr="00DA2698">
              <w:rPr>
                <w:rFonts w:ascii="仿宋_GB2312" w:eastAsia="仿宋_GB2312" w:hAnsi="仿宋_GB2312" w:cs="仿宋_GB2312" w:hint="eastAsia"/>
                <w:sz w:val="24"/>
                <w:szCs w:val="24"/>
              </w:rPr>
              <w:t>服务中心、</w:t>
            </w:r>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（九）</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深入开展控烟宣传活动，辖区内禁止在大众传播媒介或者公共场所、公共交通工具、户外发布烟草广告，依法规范烟草促销、赞助等行为。</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全面推进无烟党政机关、无烟医疗卫生机构、无烟学校、无烟家庭等无烟环境建设并取得显著成效，积极推进控烟立法执法，逐步实现室内公共场所、工作场所和公共交通工具全面禁烟。</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4096" w:type="dxa"/>
            <w:vAlign w:val="center"/>
          </w:tcPr>
          <w:p w:rsidR="0084009B" w:rsidRDefault="0084009B" w:rsidP="00DA2698">
            <w:pPr>
              <w:spacing w:line="400" w:lineRule="exact"/>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党政办、经贸</w:t>
            </w:r>
            <w:r w:rsidRPr="00DA2698">
              <w:rPr>
                <w:rFonts w:ascii="仿宋_GB2312" w:eastAsia="仿宋_GB2312" w:hAnsi="仿宋_GB2312" w:cs="仿宋_GB2312" w:hint="eastAsia"/>
                <w:sz w:val="24"/>
                <w:szCs w:val="24"/>
              </w:rPr>
              <w:t>服务中心、中心学校、</w:t>
            </w:r>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卫生院、各村、社区</w:t>
            </w:r>
          </w:p>
        </w:tc>
      </w:tr>
      <w:tr w:rsidR="0084009B">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市</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容</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环</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境</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卫</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主次干道和街巷路面平整，道路照明及景观照明设施整洁、完好，运行正常。垃圾桶</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箱</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等垃圾分类收集容器配置齐全，分类标志统一规范，满足当地垃圾分类要求。无乱搭乱建、乱堆乱摆、乱停乱放、乱贴乱画、乱扔乱倒等现象，无卫生死角，基本消除易涝积水点。主次干道和街巷路面及时进行保洁，保洁质量符合相关标准要求。</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w:t>
            </w:r>
            <w:r>
              <w:rPr>
                <w:rFonts w:ascii="仿宋_GB2312" w:eastAsia="仿宋_GB2312" w:hAnsi="仿宋_GB2312" w:cs="仿宋_GB2312" w:hint="eastAsia"/>
                <w:sz w:val="24"/>
                <w:szCs w:val="24"/>
              </w:rPr>
              <w:t>、</w:t>
            </w: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河道、湖泊等水面清洁、岸坡整洁，无垃圾杂物。</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农业农村办、各村、社区</w:t>
            </w:r>
          </w:p>
        </w:tc>
      </w:tr>
      <w:tr w:rsidR="0084009B">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市</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容</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环</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境</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卫</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建筑工地（含待建、拆迁、在建等工地）管理到位，卫生整洁，规范围挡，无扬尘、噪声污染，建筑垃圾规范运输处理，无乱倒垃圾和乱搭乱建现象。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综合执法中队、环保办、各村、社区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一）建筑物外立面上的广告设施和招牌的高度、大小符合规定标准，不遮盖建筑物外观轮廓，不影响建筑物本身和相邻建筑物采光、通风，不造成光污染。建筑玻璃幕墙的可见光反射比及其对周边建筑和交通的影响符合现行国家标准有关规定。</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（十二）加强绿化工作，提高建成区绿化覆盖率和公园绿地面积，强化绿地管理。</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三）生活垃圾转运站等环卫设施、再生资源回收基础设施符合相关标准要求，数量充足，布局合理，管理规范。生活垃圾分类收集运输体系和废旧物资循环利用体系完善，生活垃圾、粪便分类收集运输容器、车辆等设备设施实现密闭化、规范化，生活垃圾、粪便及时清运。</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（十四）推行生活垃圾分类和减量化、资源化。因地制宜加快建立生活垃圾分类投放、分类收集、分类运输、分类处理系统，实现生活垃圾分类有效覆盖。加强城市生活垃圾回收利用和无害化处理。</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市</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容</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环</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境</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卫</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五）积极推进厕所革命，公共厕所设置符合相关标准要求，数量充足，干净整洁，实现卫生厕所全覆盖。主次干道、车站、医疗机构、机场、港口、旅游景点、集贸市场、商场等公共场所的公厕设施不低于二类标准。生活污水有效收集处理。</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（十六）</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农产品市场布局合理，建设管理符合规范要求，科学设置经营区域，实行生熟分开、干湿分离；兼营零售业务的农产品批发市场，应当做到批发与零售业务分区域或分时段经营。农产品批发市场、零售市场设施设备应符合卫生防疫和食品安全要求，应配备卫生管理和保洁人员，落实定期休市和清洗消毒制度，环卫设施齐全、干净整洁。</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市场活禽销售区域应相对独立设置，实行隔离宰杀，对废弃物实施规范处理，逐步实现市场无活禽交易。农产品冷链物流设施要结合实际预留消杀防疫空间。</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临时便民市场采取有效管理措施，保障周边市容环境卫生、交通秩序和群众正常生活秩序。流动商贩管理规范。无使用厚度小于</w:t>
            </w:r>
            <w:r w:rsidRPr="00DA2698">
              <w:rPr>
                <w:rFonts w:ascii="仿宋_GB2312" w:eastAsia="仿宋_GB2312" w:hAnsi="仿宋_GB2312" w:cs="仿宋_GB2312"/>
                <w:sz w:val="24"/>
                <w:szCs w:val="24"/>
              </w:rPr>
              <w:t>0.025</w:t>
            </w:r>
            <w:r w:rsidRPr="00DA2698">
              <w:rPr>
                <w:rFonts w:ascii="仿宋_GB2312" w:eastAsia="仿宋_GB2312" w:hAnsi="仿宋_GB2312" w:cs="仿宋_GB2312" w:hint="eastAsia"/>
                <w:sz w:val="24"/>
                <w:szCs w:val="24"/>
              </w:rPr>
              <w:t>毫米的超薄塑料购物袋现象。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（十七）饲养畜禽和野生动物需符合有关法律法规要求，居民文明规范饲养宠物，畜禽粪污得到有效处置；各类集贸市场无非法交易和宰杀野生动物现象。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r>
              <w:rPr>
                <w:rFonts w:ascii="仿宋_GB2312" w:eastAsia="仿宋_GB2312" w:hAnsi="仿宋_GB2312" w:cs="仿宋_GB2312" w:hint="eastAsia"/>
                <w:sz w:val="24"/>
                <w:szCs w:val="24"/>
              </w:rPr>
              <w:t>农业农村办、</w:t>
            </w:r>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市</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容</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环</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境</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卫</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八）社区和单位建有卫生管理组织和相关制度，卫生状况良好，环卫设施完善，推行垃圾分类，垃圾及时清运，公共厕所符合卫生要求；道路平坦，绿化美化，无乱搭乱建、乱堆乱摆、乱停乱放、乱贴乱画、乱扔乱倒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十九）辖区内建有配套生活污水处理、排放设施和充足的垃圾收集站（点）、再生资源回收站（点）、公共厕所等设施；卫生清扫保洁及时，日常管理规范，垃圾及时清运，普及卫生户厕；道路硬化平整，主要道路配备路灯；无乱搭乱建、乱堆乱摆、乱停乱放、乱贴乱画、乱扔乱倒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（二十）加强铁路沿线两侧环境卫生整治，铁路两侧</w:t>
            </w:r>
            <w:r w:rsidRPr="00DA2698">
              <w:rPr>
                <w:rFonts w:ascii="仿宋_GB2312" w:eastAsia="仿宋_GB2312" w:hAnsi="仿宋_GB2312" w:cs="仿宋_GB2312"/>
                <w:sz w:val="24"/>
                <w:szCs w:val="24"/>
              </w:rPr>
              <w:t>500</w:t>
            </w:r>
            <w:r w:rsidRPr="00DA2698">
              <w:rPr>
                <w:rFonts w:ascii="仿宋_GB2312" w:eastAsia="仿宋_GB2312" w:hAnsi="仿宋_GB2312" w:cs="仿宋_GB2312" w:hint="eastAsia"/>
                <w:sz w:val="24"/>
                <w:szCs w:val="24"/>
              </w:rPr>
              <w:t>米范围内无露天堆放的彩钢瓦、塑料薄膜、防尘网等轻飘物品，铁路沿线安全保护区内无倾倒垃圾、排污等现象。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val="restart"/>
          </w:tcPr>
          <w:p w:rsidR="0084009B" w:rsidRDefault="0084009B" w:rsidP="00DA2698">
            <w:pPr>
              <w:widowControl w:val="0"/>
              <w:jc w:val="center"/>
              <w:rPr>
                <w:rFonts w:ascii="仿宋_GB2312" w:eastAsia="仿宋_GB2312" w:hAnsi="仿宋_GB2312" w:cs="Times New Roman"/>
                <w:sz w:val="24"/>
                <w:szCs w:val="24"/>
              </w:rPr>
            </w:pPr>
          </w:p>
          <w:p w:rsidR="0084009B" w:rsidRDefault="0084009B" w:rsidP="00DA2698">
            <w:pPr>
              <w:widowControl w:val="0"/>
              <w:jc w:val="center"/>
              <w:rPr>
                <w:rFonts w:ascii="仿宋_GB2312" w:eastAsia="仿宋_GB2312" w:hAnsi="仿宋_GB2312" w:cs="Times New Roman"/>
                <w:sz w:val="24"/>
                <w:szCs w:val="24"/>
              </w:rPr>
            </w:pPr>
          </w:p>
          <w:p w:rsidR="0084009B" w:rsidRPr="00DA2698" w:rsidRDefault="0084009B" w:rsidP="00DA2698">
            <w:pPr>
              <w:widowControl w:val="0"/>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生</w:t>
            </w:r>
          </w:p>
          <w:p w:rsidR="0084009B" w:rsidRPr="00DA2698" w:rsidRDefault="0084009B" w:rsidP="00DA2698">
            <w:pPr>
              <w:widowControl w:val="0"/>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态</w:t>
            </w:r>
          </w:p>
          <w:p w:rsidR="0084009B" w:rsidRPr="00DA2698" w:rsidRDefault="0084009B" w:rsidP="00DA2698">
            <w:pPr>
              <w:widowControl w:val="0"/>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w:t>
            </w:r>
          </w:p>
          <w:p w:rsidR="0084009B" w:rsidRPr="00DA2698" w:rsidRDefault="0084009B" w:rsidP="00DA2698">
            <w:pPr>
              <w:widowControl w:val="0"/>
              <w:jc w:val="center"/>
              <w:rPr>
                <w:rFonts w:cs="Times New Roman"/>
              </w:rPr>
            </w:pPr>
            <w:r w:rsidRPr="00DA2698">
              <w:rPr>
                <w:rFonts w:ascii="仿宋_GB2312" w:eastAsia="仿宋_GB2312" w:hAnsi="仿宋_GB2312" w:cs="仿宋_GB2312" w:hint="eastAsia"/>
                <w:sz w:val="24"/>
                <w:szCs w:val="24"/>
              </w:rPr>
              <w:t>境</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（二十一）近</w:t>
            </w: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年辖区内未发生重大环境污染和生态破坏事故。</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center"/>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（二十二）加强大气污染治理，环境空气质量良好或持续改善。无烟囱排黑烟现象，无秸秆、垃圾露天焚烧现象。排放油烟的餐饮单位安装油烟净化装置并保持正常使用。</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综合执法中队、各村、社区</w:t>
            </w:r>
          </w:p>
        </w:tc>
      </w:tr>
      <w:tr w:rsidR="0084009B">
        <w:tc>
          <w:tcPr>
            <w:tcW w:w="966" w:type="dxa"/>
            <w:vMerge/>
            <w:vAlign w:val="center"/>
          </w:tcPr>
          <w:p w:rsidR="0084009B" w:rsidRPr="00DA2698" w:rsidRDefault="0084009B" w:rsidP="00DA2698">
            <w:pPr>
              <w:widowControl w:val="0"/>
              <w:jc w:val="center"/>
              <w:rPr>
                <w:rFonts w:ascii="仿宋_GB2312" w:eastAsia="仿宋_GB2312" w:hAnsi="仿宋_GB2312" w:cs="Times New Roman"/>
                <w:sz w:val="24"/>
                <w:szCs w:val="24"/>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（二十三）区域环境噪声控制良好，声功能区夜间环境质量达标。</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rPr>
          <w:trHeight w:val="913"/>
        </w:trPr>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态</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环</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境</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（二十四）</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各级水环境功能区全部达到要求，未划定功能区的水质不低于五类。无乱排污水现象。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农业农村办，各村、社区</w:t>
            </w:r>
          </w:p>
        </w:tc>
      </w:tr>
      <w:tr w:rsidR="0084009B">
        <w:trPr>
          <w:trHeight w:val="567"/>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无黑臭水体</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农业农村办、各村、社区</w:t>
            </w:r>
          </w:p>
        </w:tc>
      </w:tr>
      <w:tr w:rsidR="0084009B">
        <w:trPr>
          <w:trHeight w:val="567"/>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（二十五）</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集中式饮用水水源地水质达标。</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农业农村办、各村、社区</w:t>
            </w:r>
          </w:p>
        </w:tc>
      </w:tr>
      <w:tr w:rsidR="0084009B">
        <w:trPr>
          <w:trHeight w:val="567"/>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辖区内重点河湖主要控制断面生态流量达标。</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农业农村办、各村、社区</w:t>
            </w:r>
          </w:p>
        </w:tc>
      </w:tr>
      <w:tr w:rsidR="0084009B">
        <w:trPr>
          <w:trHeight w:val="2967"/>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六）辖区内应建有符合条件的医疗废物集中处理设施，各类医疗废物处置能力应满足辖区内医疗卫生机构的处置需求。辖区内医疗卫生机构依法分类收集医疗废物，医疗废物统一由有资质的医疗废物处置单位处置。对确不具备医疗废物集中处置条件的地区，医疗机构应当使用符合条件的设施自行处置。医疗污水收集、处理、消毒和排放符合国家及地方有关要求。</w:t>
            </w:r>
          </w:p>
        </w:tc>
        <w:tc>
          <w:tcPr>
            <w:tcW w:w="2236" w:type="dxa"/>
          </w:tcPr>
          <w:p w:rsidR="0084009B" w:rsidRPr="00DA2698" w:rsidRDefault="0084009B" w:rsidP="00DA2698">
            <w:pPr>
              <w:spacing w:line="400" w:lineRule="exact"/>
              <w:jc w:val="center"/>
              <w:rPr>
                <w:rFonts w:ascii="仿宋_GB2312" w:eastAsia="仿宋_GB2312" w:hAnsi="仿宋_GB2312" w:cs="Times New Roman"/>
                <w:sz w:val="24"/>
                <w:szCs w:val="24"/>
              </w:rPr>
            </w:pPr>
          </w:p>
          <w:p w:rsidR="0084009B" w:rsidRPr="00DA2698" w:rsidRDefault="0084009B" w:rsidP="00DA2698">
            <w:pPr>
              <w:spacing w:line="400" w:lineRule="exact"/>
              <w:jc w:val="center"/>
              <w:rPr>
                <w:rFonts w:ascii="仿宋_GB2312" w:eastAsia="仿宋_GB2312" w:hAnsi="仿宋_GB2312" w:cs="Times New Roman"/>
                <w:sz w:val="24"/>
                <w:szCs w:val="24"/>
              </w:rPr>
            </w:pPr>
          </w:p>
          <w:p w:rsidR="0084009B" w:rsidRPr="00DA2698" w:rsidRDefault="0084009B" w:rsidP="00DA2698">
            <w:pPr>
              <w:spacing w:line="400" w:lineRule="exact"/>
              <w:jc w:val="both"/>
              <w:rPr>
                <w:rFonts w:ascii="仿宋_GB2312" w:eastAsia="仿宋_GB2312" w:hAnsi="仿宋_GB2312" w:cs="Times New Roman"/>
                <w:sz w:val="24"/>
                <w:szCs w:val="24"/>
              </w:rPr>
            </w:pPr>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4096" w:type="dxa"/>
          </w:tcPr>
          <w:p w:rsidR="0084009B" w:rsidRPr="00DA2698" w:rsidRDefault="0084009B" w:rsidP="00DA2698">
            <w:pPr>
              <w:spacing w:line="400" w:lineRule="exact"/>
              <w:jc w:val="center"/>
              <w:rPr>
                <w:rFonts w:ascii="仿宋_GB2312" w:eastAsia="仿宋_GB2312" w:hAnsi="仿宋_GB2312" w:cs="Times New Roman"/>
                <w:sz w:val="24"/>
                <w:szCs w:val="24"/>
              </w:rPr>
            </w:pPr>
          </w:p>
          <w:p w:rsidR="0084009B" w:rsidRPr="00DA2698" w:rsidRDefault="0084009B" w:rsidP="00DA2698">
            <w:pPr>
              <w:spacing w:line="400" w:lineRule="exact"/>
              <w:jc w:val="center"/>
              <w:rPr>
                <w:rFonts w:ascii="仿宋_GB2312" w:eastAsia="仿宋_GB2312" w:hAnsi="仿宋_GB2312" w:cs="Times New Roman"/>
                <w:sz w:val="24"/>
                <w:szCs w:val="24"/>
              </w:rPr>
            </w:pPr>
          </w:p>
          <w:p w:rsidR="0084009B" w:rsidRPr="00DA2698" w:rsidRDefault="0084009B" w:rsidP="00DA2698">
            <w:pPr>
              <w:spacing w:line="400" w:lineRule="exact"/>
              <w:jc w:val="center"/>
              <w:rPr>
                <w:rFonts w:ascii="仿宋_GB2312" w:eastAsia="仿宋_GB2312" w:hAnsi="仿宋_GB2312" w:cs="Times New Roman"/>
                <w:sz w:val="24"/>
                <w:szCs w:val="24"/>
              </w:rPr>
            </w:pPr>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r>
      <w:tr w:rsidR="0084009B">
        <w:trPr>
          <w:trHeight w:val="1839"/>
        </w:trPr>
        <w:tc>
          <w:tcPr>
            <w:tcW w:w="966" w:type="dxa"/>
          </w:tcPr>
          <w:p w:rsidR="0084009B" w:rsidRDefault="0084009B" w:rsidP="00DA2698">
            <w:pPr>
              <w:widowControl w:val="0"/>
              <w:jc w:val="center"/>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（二十七）公共场所实行卫生监督量化分级管理，公共场所卫生信誉度等级应向社会公示，并使用统一标识。卫生许可证件齐全有效，卫生管理规范，直接为顾客服务的人员取得有效健康合格证明。</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卫健办、卫生院</w:t>
            </w:r>
          </w:p>
        </w:tc>
      </w:tr>
      <w:tr w:rsidR="0084009B">
        <w:tc>
          <w:tcPr>
            <w:tcW w:w="966" w:type="dxa"/>
            <w:vMerge w:val="restart"/>
            <w:vAlign w:val="center"/>
          </w:tcPr>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重</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点</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场</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所</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卫</w:t>
            </w:r>
          </w:p>
          <w:p w:rsidR="0084009B" w:rsidRPr="00DA2698" w:rsidRDefault="0084009B" w:rsidP="00DA2698">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（二十八）小美容美发店、小歌舞厅、小旅店等经营资格合法，室内外环境整洁，卫生管理、硬件设施符合相应国家标准要求。</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卫健办、各村、社区</w:t>
            </w:r>
          </w:p>
        </w:tc>
      </w:tr>
      <w:tr w:rsidR="0084009B">
        <w:trPr>
          <w:trHeight w:val="2355"/>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二十九）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（三十）中小学体育与健康课程开课率达标。中小学生每天校内体育活动时间充足。学校眼保健操普及率达标。中小学生近视率、肥胖率逐年下降。近</w:t>
            </w: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年辖区内无重大学校食物中毒事件。</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r>
      <w:tr w:rsidR="0084009B">
        <w:trPr>
          <w:trHeight w:val="1500"/>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（三十一）辖区内存在职业病目录所列职业病危害因素的企业职业病危害项目及时申报。对接触职业病危害的劳动者依法进行职业健康检查。近</w:t>
            </w: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年辖区内未发生重大职业病危害事故。</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经贸</w:t>
            </w:r>
            <w:r w:rsidRPr="00DA2698">
              <w:rPr>
                <w:rFonts w:ascii="仿宋_GB2312" w:eastAsia="仿宋_GB2312" w:hAnsi="仿宋_GB2312" w:cs="仿宋_GB2312" w:hint="eastAsia"/>
                <w:sz w:val="24"/>
                <w:szCs w:val="24"/>
              </w:rPr>
              <w:t>服务中心、卫生院</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（三十二）商场、超市等公共场所卫生检测结果符合国家相关标准要求。</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r>
      <w:tr w:rsidR="0084009B">
        <w:tc>
          <w:tcPr>
            <w:tcW w:w="966" w:type="dxa"/>
            <w:vMerge w:val="restart"/>
            <w:vAlign w:val="center"/>
          </w:tcPr>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食</w:t>
            </w:r>
          </w:p>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品</w:t>
            </w:r>
          </w:p>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和</w:t>
            </w:r>
          </w:p>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生</w:t>
            </w:r>
          </w:p>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活</w:t>
            </w:r>
          </w:p>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饮</w:t>
            </w:r>
          </w:p>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用</w:t>
            </w:r>
          </w:p>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水</w:t>
            </w:r>
          </w:p>
          <w:p w:rsidR="0084009B" w:rsidRPr="00DA2698" w:rsidRDefault="0084009B" w:rsidP="00631D4B">
            <w:pPr>
              <w:widowControl w:val="0"/>
              <w:jc w:val="center"/>
              <w:rPr>
                <w:rFonts w:ascii="仿宋_GB2312" w:eastAsia="仿宋_GB2312" w:hAnsi="仿宋_GB2312" w:cs="Times New Roman"/>
                <w:sz w:val="28"/>
                <w:szCs w:val="28"/>
              </w:rPr>
            </w:pPr>
            <w:r w:rsidRPr="00DA2698">
              <w:rPr>
                <w:rFonts w:ascii="仿宋_GB2312" w:eastAsia="仿宋_GB2312" w:hAnsi="仿宋_GB2312" w:cs="仿宋_GB2312" w:hint="eastAsia"/>
                <w:sz w:val="28"/>
                <w:szCs w:val="28"/>
              </w:rPr>
              <w:t>安</w:t>
            </w:r>
          </w:p>
          <w:p w:rsidR="0084009B" w:rsidRDefault="0084009B" w:rsidP="00631D4B">
            <w:pPr>
              <w:widowControl w:val="0"/>
              <w:jc w:val="center"/>
              <w:rPr>
                <w:rFonts w:cs="Times New Roman"/>
              </w:rPr>
            </w:pPr>
            <w:r w:rsidRPr="00DA2698">
              <w:rPr>
                <w:rFonts w:ascii="仿宋_GB2312" w:eastAsia="仿宋_GB2312" w:hAnsi="仿宋_GB2312" w:cs="仿宋_GB2312" w:hint="eastAsia"/>
                <w:sz w:val="28"/>
                <w:szCs w:val="28"/>
              </w:rPr>
              <w:t>全</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（三十三）近</w:t>
            </w: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年辖区内未发生重大食品安全和饮用水安全事故，依法报告食品安全和饮用水安全事故信息。</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rPr>
          <w:trHeight w:val="580"/>
        </w:trPr>
        <w:tc>
          <w:tcPr>
            <w:tcW w:w="966" w:type="dxa"/>
            <w:vMerge/>
            <w:vAlign w:val="center"/>
          </w:tcPr>
          <w:p w:rsidR="0084009B" w:rsidRPr="00DA2698" w:rsidRDefault="0084009B" w:rsidP="00DA2698">
            <w:pPr>
              <w:widowControl w:val="0"/>
              <w:jc w:val="center"/>
              <w:rPr>
                <w:rFonts w:ascii="仿宋_GB2312" w:eastAsia="仿宋_GB2312" w:hAnsi="仿宋_GB2312" w:cs="Times New Roman"/>
                <w:sz w:val="28"/>
                <w:szCs w:val="28"/>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（三十四）</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加强小餐饮店、小食品店、小作坊管理，无制售“三无”食品、假冒食品、劣质食品、过期食品等现象。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p>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无固定经营场所的食品摊贩实行统一管理，规定区域、限定品种经营。</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综合执法中队、各村、社区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五）积极推行明厨亮灶和食品生产经营风险分级管理。从事接触直接入口食品工作的食品生产经营人员取得有效的健康合格证明。落实清洗消毒制度，防蝇防鼠等设施健全。食品生产经营单位严格执行国家相关标准。</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（三十六）</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辖区内积极推广分餐制和公筷制，大力倡导“光盘行动”。</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党政办、各村、社区</w:t>
            </w:r>
          </w:p>
        </w:tc>
      </w:tr>
      <w:tr w:rsidR="0084009B">
        <w:trPr>
          <w:trHeight w:val="408"/>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sz w:val="24"/>
                <w:szCs w:val="24"/>
              </w:rPr>
              <w:t>2.</w:t>
            </w:r>
            <w:r w:rsidRPr="00DA2698">
              <w:rPr>
                <w:rFonts w:ascii="仿宋_GB2312" w:eastAsia="仿宋_GB2312" w:hAnsi="仿宋_GB2312" w:cs="仿宋_GB2312" w:hint="eastAsia"/>
                <w:sz w:val="24"/>
                <w:szCs w:val="24"/>
              </w:rPr>
              <w:t>辖区内无贩卖、制售、食用野生动物现象。</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（三十七）市政供水、自备供水、居民小区供水管理规范，供水单位有卫生许可证。二次供水符合国家相关标准要求。开展水质监测工作，采样点选择、检验项目和频率符合相关要求。</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市场监管所</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村镇社会服务中心</w:t>
            </w:r>
          </w:p>
        </w:tc>
      </w:tr>
      <w:tr w:rsidR="0084009B">
        <w:trPr>
          <w:trHeight w:val="1299"/>
        </w:trPr>
        <w:tc>
          <w:tcPr>
            <w:tcW w:w="966" w:type="dxa"/>
          </w:tcPr>
          <w:p w:rsidR="0084009B" w:rsidRDefault="0084009B" w:rsidP="00631D4B">
            <w:pPr>
              <w:widowControl w:val="0"/>
              <w:jc w:val="center"/>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（三十八）建立与经济社会发展、财政状况和实现健康目标相适应的卫生健康事业投入机制。个人卫生支出占卫生总费用的比重持续降低。</w:t>
            </w:r>
          </w:p>
        </w:tc>
        <w:tc>
          <w:tcPr>
            <w:tcW w:w="223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4096"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财政所</w:t>
            </w:r>
          </w:p>
        </w:tc>
      </w:tr>
      <w:tr w:rsidR="0084009B">
        <w:trPr>
          <w:trHeight w:val="2540"/>
        </w:trPr>
        <w:tc>
          <w:tcPr>
            <w:tcW w:w="966" w:type="dxa"/>
            <w:vMerge w:val="restart"/>
            <w:vAlign w:val="center"/>
          </w:tcPr>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疾</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病</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防</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控</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与</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医</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疗</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卫</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生</w:t>
            </w:r>
          </w:p>
          <w:p w:rsidR="0084009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服</w:t>
            </w:r>
          </w:p>
          <w:p w:rsidR="0084009B" w:rsidRPr="00631D4B" w:rsidRDefault="0084009B" w:rsidP="00DA2698">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务</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三十九）强化重大传染病防控措施，建立重大新发突发传染病疫情联防联控机制，按照相关要求制定传染病预防控制预案，落实“四早”要求，压实“四方责任”，甲、乙类法定传染病发病情况稳定。二级以上综合性医院设置公共卫生科和感染性疾病科，发热门诊、肠道门诊、预检分诊符合有关规定。近</w:t>
            </w: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年辖区内未发生重大实验室生物安全事故。</w:t>
            </w:r>
          </w:p>
        </w:tc>
        <w:tc>
          <w:tcPr>
            <w:tcW w:w="2238"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4094"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rPr>
          <w:trHeight w:val="1426"/>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（四十）多措并举降低孕产妇死亡率、婴儿死亡率和</w:t>
            </w:r>
            <w:r w:rsidRPr="00DA2698">
              <w:rPr>
                <w:rFonts w:ascii="仿宋_GB2312" w:eastAsia="仿宋_GB2312" w:hAnsi="仿宋_GB2312" w:cs="仿宋_GB2312"/>
                <w:sz w:val="24"/>
                <w:szCs w:val="24"/>
              </w:rPr>
              <w:t>5</w:t>
            </w:r>
            <w:r w:rsidRPr="00DA2698">
              <w:rPr>
                <w:rFonts w:ascii="仿宋_GB2312" w:eastAsia="仿宋_GB2312" w:hAnsi="仿宋_GB2312" w:cs="仿宋_GB2312" w:hint="eastAsia"/>
                <w:sz w:val="24"/>
                <w:szCs w:val="24"/>
              </w:rPr>
              <w:t>岁以下儿童死亡率，持续提升人均预期寿命。按照国家免疫规划和当地预防接种工作计划，定期为适龄人群提供预防接种服务。提升妇幼健康服务能力，促进妇女儿童全面健康发展。推进医养结合服务。</w:t>
            </w:r>
          </w:p>
        </w:tc>
        <w:tc>
          <w:tcPr>
            <w:tcW w:w="2238"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4094"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rPr>
          <w:trHeight w:val="1285"/>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（四十一）重大慢性病过早死亡率呈下降趋势。健全重大事件处置中的社会心理健康监测预警机制，强化心理健康促进和心理疏导、危机干预。严重精神障碍患者管理规范。</w:t>
            </w:r>
          </w:p>
        </w:tc>
        <w:tc>
          <w:tcPr>
            <w:tcW w:w="2238"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4094"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r w:rsidR="0084009B">
        <w:trPr>
          <w:trHeight w:val="1726"/>
        </w:trPr>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（四十二）医疗卫生服务体系健全，机构建设符合国家标准要求，千人口的床位数、执业</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助理</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医师数、注册护士数、公共卫生人员数、药师</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药士</w:t>
            </w:r>
            <w:r w:rsidRPr="00DA2698">
              <w:rPr>
                <w:rFonts w:ascii="仿宋_GB2312" w:eastAsia="仿宋_GB2312" w:hAnsi="仿宋_GB2312" w:cs="仿宋_GB2312"/>
                <w:sz w:val="24"/>
                <w:szCs w:val="24"/>
              </w:rPr>
              <w:t>)</w:t>
            </w:r>
            <w:r w:rsidRPr="00DA2698">
              <w:rPr>
                <w:rFonts w:ascii="仿宋_GB2312" w:eastAsia="仿宋_GB2312" w:hAnsi="仿宋_GB2312" w:cs="仿宋_GB2312" w:hint="eastAsia"/>
                <w:sz w:val="24"/>
                <w:szCs w:val="24"/>
              </w:rPr>
              <w:t>数和万人口全科医生数等指标符合所在地区域卫生规划要求。</w:t>
            </w:r>
          </w:p>
        </w:tc>
        <w:tc>
          <w:tcPr>
            <w:tcW w:w="2238"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4094"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r>
    </w:tbl>
    <w:p w:rsidR="0084009B" w:rsidRDefault="0084009B">
      <w:pPr>
        <w:rPr>
          <w:rFonts w:cs="Times New Roman"/>
        </w:rPr>
      </w:pPr>
    </w:p>
    <w:tbl>
      <w:tblPr>
        <w:tblW w:w="140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6"/>
        <w:gridCol w:w="6773"/>
        <w:gridCol w:w="1854"/>
        <w:gridCol w:w="4478"/>
      </w:tblGrid>
      <w:tr w:rsidR="0084009B">
        <w:trPr>
          <w:trHeight w:val="2127"/>
        </w:trPr>
        <w:tc>
          <w:tcPr>
            <w:tcW w:w="966" w:type="dxa"/>
            <w:vMerge w:val="restart"/>
            <w:vAlign w:val="center"/>
          </w:tcPr>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疾</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病</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防</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控</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与</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医</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疗</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卫</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生</w:t>
            </w:r>
          </w:p>
          <w:p w:rsidR="0084009B"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服</w:t>
            </w:r>
          </w:p>
          <w:p w:rsidR="0084009B" w:rsidRPr="00DA2698" w:rsidRDefault="0084009B" w:rsidP="00631D4B">
            <w:pPr>
              <w:widowControl w:val="0"/>
              <w:jc w:val="center"/>
              <w:rPr>
                <w:rFonts w:ascii="仿宋_GB2312" w:eastAsia="仿宋_GB2312" w:hAnsi="仿宋_GB2312" w:cs="Times New Roman"/>
                <w:sz w:val="28"/>
                <w:szCs w:val="28"/>
              </w:rPr>
            </w:pPr>
            <w:r w:rsidRPr="00631D4B">
              <w:rPr>
                <w:rFonts w:ascii="仿宋_GB2312" w:eastAsia="仿宋_GB2312" w:hAnsi="仿宋_GB2312" w:cs="仿宋_GB2312" w:hint="eastAsia"/>
                <w:sz w:val="28"/>
                <w:szCs w:val="28"/>
              </w:rPr>
              <w:t>务</w:t>
            </w: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（四十三）推动机场、学校、景区、机关单位、商场超市等重点行业、重点场所配置和使用自动体外心脏除颤仪</w:t>
            </w:r>
            <w:r w:rsidRPr="00DA2698">
              <w:rPr>
                <w:rFonts w:ascii="仿宋_GB2312" w:eastAsia="仿宋_GB2312" w:hAnsi="仿宋_GB2312" w:cs="仿宋_GB2312"/>
                <w:sz w:val="24"/>
                <w:szCs w:val="24"/>
              </w:rPr>
              <w:t>(AED)</w:t>
            </w:r>
            <w:r w:rsidRPr="00DA2698">
              <w:rPr>
                <w:rFonts w:ascii="仿宋_GB2312" w:eastAsia="仿宋_GB2312" w:hAnsi="仿宋_GB2312" w:cs="仿宋_GB2312" w:hint="eastAsia"/>
                <w:sz w:val="24"/>
                <w:szCs w:val="24"/>
              </w:rPr>
              <w:t>等医疗急救设备和药品。对公安、消防、安保、交通和教育等重点行业人群开展急救知识与技能培训，引导全社会逐步提高全民急救能力。</w:t>
            </w:r>
          </w:p>
        </w:tc>
        <w:tc>
          <w:tcPr>
            <w:tcW w:w="1854"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4478"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应急办、派出所、中心学校</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（四十四）构建和谐医患关系，医疗卫生人员具备安全的工作条件，执业环境逐步改善。辖区内无重特大刑事伤医案件。临床用血来自自愿无偿献血。无无证行医、非法采供血和非法医疗广告。</w:t>
            </w:r>
          </w:p>
        </w:tc>
        <w:tc>
          <w:tcPr>
            <w:tcW w:w="1854"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4478"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信访办、派出所</w:t>
            </w:r>
          </w:p>
        </w:tc>
      </w:tr>
      <w:tr w:rsidR="0084009B">
        <w:tc>
          <w:tcPr>
            <w:tcW w:w="966" w:type="dxa"/>
            <w:vMerge/>
          </w:tcPr>
          <w:p w:rsidR="0084009B" w:rsidRDefault="0084009B" w:rsidP="00DA2698">
            <w:pPr>
              <w:widowControl w:val="0"/>
              <w:jc w:val="both"/>
              <w:rPr>
                <w:rFonts w:cs="Times New Roman"/>
              </w:rPr>
            </w:pPr>
          </w:p>
        </w:tc>
        <w:tc>
          <w:tcPr>
            <w:tcW w:w="6773" w:type="dxa"/>
            <w:vAlign w:val="center"/>
          </w:tcPr>
          <w:p w:rsidR="0084009B" w:rsidRPr="00DA2698" w:rsidRDefault="0084009B" w:rsidP="00DA2698">
            <w:pPr>
              <w:spacing w:line="400" w:lineRule="exact"/>
              <w:jc w:val="both"/>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四十五）建立政府组织和全社会参与的病媒生物预防控制机制。掌握辖区病媒生物孳生地情况、密度变化和侵害状况。湖泊、河流、沟渠、景观水体、小型积水、垃圾、厕所等各类孳生环境得到有效治理，鼠、蚊、蝇、蟑螂的密度达标。重点行业和单位防蝇和防鼠设施合格。</w:t>
            </w:r>
          </w:p>
        </w:tc>
        <w:tc>
          <w:tcPr>
            <w:tcW w:w="1854"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4478" w:type="dxa"/>
            <w:vAlign w:val="center"/>
          </w:tcPr>
          <w:p w:rsidR="0084009B" w:rsidRPr="00DA2698" w:rsidRDefault="0084009B" w:rsidP="00DA2698">
            <w:pPr>
              <w:spacing w:line="40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卫健办、农业农村办、各村、社区</w:t>
            </w:r>
          </w:p>
        </w:tc>
      </w:tr>
    </w:tbl>
    <w:p w:rsidR="0084009B" w:rsidRDefault="0084009B">
      <w:pPr>
        <w:spacing w:line="560" w:lineRule="exact"/>
        <w:rPr>
          <w:rFonts w:cs="Times New Roman"/>
        </w:rPr>
        <w:sectPr w:rsidR="0084009B">
          <w:footerReference w:type="default" r:id="rId7"/>
          <w:pgSz w:w="16839" w:h="11906"/>
          <w:pgMar w:top="2098" w:right="1474" w:bottom="1984" w:left="1587" w:header="0" w:footer="995" w:gutter="0"/>
          <w:cols w:space="720"/>
        </w:sectPr>
      </w:pPr>
    </w:p>
    <w:p w:rsidR="0084009B" w:rsidRDefault="0084009B">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84009B" w:rsidRDefault="0084009B">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新庙镇国家卫生城市重点数据评价指标分解表</w:t>
      </w:r>
    </w:p>
    <w:p w:rsidR="0084009B" w:rsidRPr="00592383" w:rsidRDefault="0084009B">
      <w:pPr>
        <w:spacing w:line="560" w:lineRule="exact"/>
        <w:jc w:val="center"/>
        <w:rPr>
          <w:rFonts w:ascii="楷体_GB2312" w:eastAsia="楷体_GB2312" w:hAnsi="仿宋_GB2312" w:cs="Times New Roman"/>
          <w:sz w:val="32"/>
          <w:szCs w:val="32"/>
        </w:rPr>
      </w:pPr>
      <w:r>
        <w:rPr>
          <w:rFonts w:ascii="楷体_GB2312" w:eastAsia="楷体_GB2312" w:hAnsi="仿宋_GB2312" w:cs="楷体_GB2312" w:hint="eastAsia"/>
          <w:sz w:val="32"/>
          <w:szCs w:val="32"/>
        </w:rPr>
        <w:t>（依据：国家卫生城市</w:t>
      </w:r>
      <w:r w:rsidRPr="00592383">
        <w:rPr>
          <w:rFonts w:ascii="楷体_GB2312" w:eastAsia="楷体_GB2312" w:hAnsi="仿宋_GB2312" w:cs="楷体_GB2312" w:hint="eastAsia"/>
          <w:sz w:val="32"/>
          <w:szCs w:val="32"/>
        </w:rPr>
        <w:t>标准</w:t>
      </w:r>
      <w:r w:rsidRPr="00592383">
        <w:rPr>
          <w:rFonts w:ascii="楷体_GB2312" w:eastAsia="楷体_GB2312" w:hAnsi="仿宋_GB2312" w:cs="楷体_GB2312"/>
          <w:sz w:val="32"/>
          <w:szCs w:val="32"/>
        </w:rPr>
        <w:t>2021</w:t>
      </w:r>
      <w:r w:rsidRPr="00592383">
        <w:rPr>
          <w:rFonts w:ascii="楷体_GB2312" w:eastAsia="楷体_GB2312" w:hAnsi="仿宋_GB2312" w:cs="楷体_GB2312" w:hint="eastAsia"/>
          <w:sz w:val="32"/>
          <w:szCs w:val="32"/>
        </w:rPr>
        <w:t>）</w:t>
      </w:r>
    </w:p>
    <w:p w:rsidR="0084009B" w:rsidRDefault="0084009B">
      <w:pPr>
        <w:spacing w:line="560" w:lineRule="exact"/>
        <w:jc w:val="center"/>
        <w:rPr>
          <w:rFonts w:ascii="仿宋_GB2312" w:eastAsia="仿宋_GB2312" w:hAnsi="仿宋_GB2312" w:cs="Times New Roman"/>
          <w:sz w:val="32"/>
          <w:szCs w:val="32"/>
        </w:rPr>
      </w:pPr>
    </w:p>
    <w:tbl>
      <w:tblPr>
        <w:tblW w:w="1417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765"/>
        <w:gridCol w:w="3278"/>
        <w:gridCol w:w="2231"/>
        <w:gridCol w:w="1677"/>
        <w:gridCol w:w="3177"/>
        <w:gridCol w:w="3047"/>
      </w:tblGrid>
      <w:tr w:rsidR="0084009B" w:rsidRPr="007E0DBF">
        <w:trPr>
          <w:trHeight w:val="755"/>
        </w:trPr>
        <w:tc>
          <w:tcPr>
            <w:tcW w:w="765" w:type="dxa"/>
            <w:tcBorders>
              <w:top w:val="single" w:sz="2" w:space="0" w:color="000000"/>
              <w:bottom w:val="single" w:sz="2" w:space="0" w:color="000000"/>
            </w:tcBorders>
            <w:vAlign w:val="center"/>
          </w:tcPr>
          <w:p w:rsidR="0084009B" w:rsidRPr="007E0DBF" w:rsidRDefault="0084009B" w:rsidP="00DA2698">
            <w:pPr>
              <w:spacing w:line="560" w:lineRule="exact"/>
              <w:jc w:val="center"/>
              <w:rPr>
                <w:rFonts w:ascii="黑体" w:eastAsia="黑体" w:hAnsi="黑体" w:cs="Times New Roman"/>
                <w:sz w:val="32"/>
                <w:szCs w:val="32"/>
              </w:rPr>
            </w:pPr>
            <w:r w:rsidRPr="007E0DBF">
              <w:rPr>
                <w:rFonts w:ascii="黑体" w:eastAsia="黑体" w:hAnsi="黑体" w:cs="黑体" w:hint="eastAsia"/>
                <w:sz w:val="32"/>
                <w:szCs w:val="32"/>
              </w:rPr>
              <w:t>序号</w:t>
            </w:r>
          </w:p>
        </w:tc>
        <w:tc>
          <w:tcPr>
            <w:tcW w:w="3278" w:type="dxa"/>
            <w:tcBorders>
              <w:top w:val="single" w:sz="2" w:space="0" w:color="000000"/>
              <w:bottom w:val="single" w:sz="2" w:space="0" w:color="000000"/>
            </w:tcBorders>
            <w:vAlign w:val="center"/>
          </w:tcPr>
          <w:p w:rsidR="0084009B" w:rsidRPr="007E0DBF" w:rsidRDefault="0084009B" w:rsidP="00DA2698">
            <w:pPr>
              <w:spacing w:line="560" w:lineRule="exact"/>
              <w:jc w:val="center"/>
              <w:rPr>
                <w:rFonts w:ascii="黑体" w:eastAsia="黑体" w:hAnsi="黑体" w:cs="Times New Roman"/>
                <w:sz w:val="32"/>
                <w:szCs w:val="32"/>
              </w:rPr>
            </w:pPr>
            <w:r w:rsidRPr="007E0DBF">
              <w:rPr>
                <w:rFonts w:ascii="黑体" w:eastAsia="黑体" w:hAnsi="黑体" w:cs="黑体" w:hint="eastAsia"/>
                <w:sz w:val="32"/>
                <w:szCs w:val="32"/>
              </w:rPr>
              <w:t>评价指标</w:t>
            </w:r>
          </w:p>
        </w:tc>
        <w:tc>
          <w:tcPr>
            <w:tcW w:w="2231" w:type="dxa"/>
            <w:tcBorders>
              <w:top w:val="single" w:sz="2" w:space="0" w:color="000000"/>
              <w:bottom w:val="single" w:sz="2" w:space="0" w:color="000000"/>
            </w:tcBorders>
            <w:vAlign w:val="center"/>
          </w:tcPr>
          <w:p w:rsidR="0084009B" w:rsidRPr="007E0DBF" w:rsidRDefault="0084009B" w:rsidP="00DA2698">
            <w:pPr>
              <w:spacing w:line="560" w:lineRule="exact"/>
              <w:jc w:val="center"/>
              <w:rPr>
                <w:rFonts w:ascii="黑体" w:eastAsia="黑体" w:hAnsi="黑体" w:cs="Times New Roman"/>
                <w:sz w:val="32"/>
                <w:szCs w:val="32"/>
              </w:rPr>
            </w:pPr>
            <w:r w:rsidRPr="007E0DBF">
              <w:rPr>
                <w:rFonts w:ascii="黑体" w:eastAsia="黑体" w:hAnsi="黑体" w:cs="黑体" w:hint="eastAsia"/>
                <w:sz w:val="32"/>
                <w:szCs w:val="32"/>
              </w:rPr>
              <w:t>目标值</w:t>
            </w:r>
          </w:p>
        </w:tc>
        <w:tc>
          <w:tcPr>
            <w:tcW w:w="1677" w:type="dxa"/>
            <w:tcBorders>
              <w:top w:val="single" w:sz="2" w:space="0" w:color="000000"/>
              <w:bottom w:val="single" w:sz="2" w:space="0" w:color="000000"/>
            </w:tcBorders>
            <w:vAlign w:val="center"/>
          </w:tcPr>
          <w:p w:rsidR="0084009B" w:rsidRPr="007E0DBF" w:rsidRDefault="0084009B" w:rsidP="00DA2698">
            <w:pPr>
              <w:spacing w:line="560" w:lineRule="exact"/>
              <w:jc w:val="center"/>
              <w:rPr>
                <w:rFonts w:ascii="黑体" w:eastAsia="黑体" w:hAnsi="黑体" w:cs="Times New Roman"/>
                <w:sz w:val="32"/>
                <w:szCs w:val="32"/>
              </w:rPr>
            </w:pPr>
            <w:r w:rsidRPr="007E0DBF">
              <w:rPr>
                <w:rFonts w:ascii="黑体" w:eastAsia="黑体" w:hAnsi="黑体" w:cs="黑体" w:hint="eastAsia"/>
                <w:sz w:val="32"/>
                <w:szCs w:val="32"/>
              </w:rPr>
              <w:t>牵头单位</w:t>
            </w:r>
          </w:p>
        </w:tc>
        <w:tc>
          <w:tcPr>
            <w:tcW w:w="3177" w:type="dxa"/>
            <w:tcBorders>
              <w:top w:val="single" w:sz="2" w:space="0" w:color="000000"/>
              <w:bottom w:val="single" w:sz="2" w:space="0" w:color="000000"/>
            </w:tcBorders>
            <w:vAlign w:val="center"/>
          </w:tcPr>
          <w:p w:rsidR="0084009B" w:rsidRPr="007E0DBF" w:rsidRDefault="0084009B" w:rsidP="00DA2698">
            <w:pPr>
              <w:spacing w:line="560" w:lineRule="exact"/>
              <w:jc w:val="center"/>
              <w:rPr>
                <w:rFonts w:ascii="黑体" w:eastAsia="黑体" w:hAnsi="黑体" w:cs="Times New Roman"/>
                <w:sz w:val="32"/>
                <w:szCs w:val="32"/>
              </w:rPr>
            </w:pPr>
            <w:r w:rsidRPr="007E0DBF">
              <w:rPr>
                <w:rFonts w:ascii="黑体" w:eastAsia="黑体" w:hAnsi="黑体" w:cs="黑体" w:hint="eastAsia"/>
                <w:sz w:val="32"/>
                <w:szCs w:val="32"/>
              </w:rPr>
              <w:t>责任单位</w:t>
            </w:r>
          </w:p>
        </w:tc>
        <w:tc>
          <w:tcPr>
            <w:tcW w:w="3047" w:type="dxa"/>
            <w:tcBorders>
              <w:top w:val="single" w:sz="2" w:space="0" w:color="000000"/>
              <w:bottom w:val="single" w:sz="2" w:space="0" w:color="000000"/>
            </w:tcBorders>
            <w:vAlign w:val="center"/>
          </w:tcPr>
          <w:p w:rsidR="0084009B" w:rsidRPr="007E0DBF" w:rsidRDefault="0084009B" w:rsidP="00DA2698">
            <w:pPr>
              <w:spacing w:line="560" w:lineRule="exact"/>
              <w:jc w:val="center"/>
              <w:rPr>
                <w:rFonts w:ascii="黑体" w:eastAsia="黑体" w:hAnsi="黑体" w:cs="Times New Roman"/>
                <w:sz w:val="32"/>
                <w:szCs w:val="32"/>
              </w:rPr>
            </w:pPr>
            <w:r w:rsidRPr="007E0DBF">
              <w:rPr>
                <w:rFonts w:ascii="黑体" w:eastAsia="黑体" w:hAnsi="黑体" w:cs="黑体" w:hint="eastAsia"/>
                <w:sz w:val="32"/>
                <w:szCs w:val="32"/>
              </w:rPr>
              <w:t>备注</w:t>
            </w:r>
          </w:p>
        </w:tc>
      </w:tr>
      <w:tr w:rsidR="0084009B">
        <w:trPr>
          <w:trHeight w:val="90"/>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国家卫生乡镇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个</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59"/>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群众对卫生状况满意率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67"/>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居民健康素养水平</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23%</w:t>
            </w:r>
            <w:r w:rsidRPr="00DA2698">
              <w:rPr>
                <w:rFonts w:ascii="仿宋_GB2312" w:eastAsia="仿宋_GB2312" w:hAnsi="仿宋_GB2312" w:cs="仿宋_GB2312" w:hint="eastAsia"/>
                <w:sz w:val="24"/>
                <w:szCs w:val="24"/>
              </w:rPr>
              <w:t>或持续提升</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党政办、卫健办、卫生院、</w:t>
            </w:r>
          </w:p>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3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建有全民健身场地设施的社区比例</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5</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经常参加体育锻炼人数的比例</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&gt;38.5%</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57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6</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人均体育场地面积</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sz w:val="24"/>
                <w:szCs w:val="24"/>
              </w:rPr>
              <w:t>&gt;2.2</w:t>
            </w:r>
            <w:r w:rsidRPr="00DA2698">
              <w:rPr>
                <w:rFonts w:ascii="仿宋_GB2312" w:eastAsia="仿宋_GB2312" w:hAnsi="仿宋_GB2312" w:cs="仿宋_GB2312" w:hint="eastAsia"/>
                <w:sz w:val="24"/>
                <w:szCs w:val="24"/>
              </w:rPr>
              <w:t>平方米</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58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7</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每千人口社会体育指导员数</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2.16</w:t>
            </w:r>
            <w:r w:rsidRPr="00DA2698">
              <w:rPr>
                <w:rFonts w:ascii="仿宋_GB2312" w:eastAsia="仿宋_GB2312" w:hAnsi="仿宋_GB2312" w:cs="仿宋_GB2312" w:hint="eastAsia"/>
                <w:sz w:val="24"/>
                <w:szCs w:val="24"/>
              </w:rPr>
              <w:t>名</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58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8</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sz w:val="24"/>
                <w:szCs w:val="24"/>
              </w:rPr>
              <w:t>15</w:t>
            </w:r>
            <w:r w:rsidRPr="00DA2698">
              <w:rPr>
                <w:rFonts w:ascii="仿宋_GB2312" w:eastAsia="仿宋_GB2312" w:hAnsi="仿宋_GB2312" w:cs="仿宋_GB2312" w:hint="eastAsia"/>
                <w:sz w:val="24"/>
                <w:szCs w:val="24"/>
              </w:rPr>
              <w:t>岁以上人群吸烟率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20%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1091"/>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9</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无烟党政机关、无烟医疗卫生机构、无烟学校建成比例</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文明创建办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党政办、卫生院、中心学校</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109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全面控烟法律法规规定</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有</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出台规范性文件或被市级全面控烟法律法规规定覆盖</w:t>
            </w:r>
          </w:p>
        </w:tc>
      </w:tr>
      <w:tr w:rsidR="0084009B">
        <w:trPr>
          <w:trHeight w:val="73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11</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道路装灯率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109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12</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主次干道每日保洁时间</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16</w:t>
            </w:r>
            <w:r w:rsidRPr="00DA2698">
              <w:rPr>
                <w:rFonts w:ascii="仿宋_GB2312" w:eastAsia="仿宋_GB2312" w:hAnsi="仿宋_GB2312" w:cs="仿宋_GB2312" w:hint="eastAsia"/>
                <w:sz w:val="24"/>
                <w:szCs w:val="24"/>
              </w:rPr>
              <w:t>小时</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13</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街巷路面每日保洁时间</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12</w:t>
            </w:r>
            <w:r w:rsidRPr="00DA2698">
              <w:rPr>
                <w:rFonts w:ascii="仿宋_GB2312" w:eastAsia="仿宋_GB2312" w:hAnsi="仿宋_GB2312" w:cs="仿宋_GB2312" w:hint="eastAsia"/>
                <w:sz w:val="24"/>
                <w:szCs w:val="24"/>
              </w:rPr>
              <w:t>小时</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14</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道路机械化清扫率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80%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c>
          <w:tcPr>
            <w:tcW w:w="3047" w:type="dxa"/>
            <w:vMerge w:val="restart"/>
            <w:tcBorders>
              <w:top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本指标适用于城市</w:t>
            </w: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15</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城市管理信息化覆盖率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c>
          <w:tcPr>
            <w:tcW w:w="3047" w:type="dxa"/>
            <w:vMerge/>
            <w:tcBorders>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16</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建成区绿化覆盖率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38</w:t>
            </w:r>
            <w:r w:rsidRPr="00DA2698">
              <w:rPr>
                <w:rFonts w:ascii="仿宋_GB2312" w:eastAsia="仿宋_GB2312" w:hAnsi="仿宋_GB2312" w:cs="仿宋_GB2312" w:hint="eastAsia"/>
                <w:sz w:val="24"/>
                <w:szCs w:val="24"/>
              </w:rPr>
              <w:t>％</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vMerge w:val="restart"/>
            <w:tcBorders>
              <w:top w:val="single" w:sz="2" w:space="0" w:color="000000"/>
              <w:bottom w:val="nil"/>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17</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人均公园绿地面积</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w:t>
            </w:r>
            <w:r w:rsidRPr="00DA2698">
              <w:rPr>
                <w:rFonts w:ascii="仿宋_GB2312" w:eastAsia="仿宋_GB2312" w:hAnsi="仿宋_GB2312" w:cs="仿宋_GB2312" w:hint="eastAsia"/>
                <w:sz w:val="24"/>
                <w:szCs w:val="24"/>
              </w:rPr>
              <w:t>平方米</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vMerge/>
            <w:tcBorders>
              <w:top w:val="nil"/>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18</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城市生活垃圾回收利用率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sz w:val="24"/>
                <w:szCs w:val="24"/>
              </w:rPr>
              <w:t>&gt;35</w:t>
            </w:r>
            <w:r w:rsidRPr="00DA2698">
              <w:rPr>
                <w:rFonts w:ascii="仿宋_GB2312" w:eastAsia="仿宋_GB2312" w:hAnsi="仿宋_GB2312" w:cs="仿宋_GB2312" w:hint="eastAsia"/>
                <w:sz w:val="24"/>
                <w:szCs w:val="24"/>
              </w:rPr>
              <w:t>％</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19</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城市生活垃圾无害化处理率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20</w:t>
            </w:r>
          </w:p>
        </w:tc>
        <w:tc>
          <w:tcPr>
            <w:tcW w:w="3278"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窨井盖完好率</w:t>
            </w:r>
          </w:p>
        </w:tc>
        <w:tc>
          <w:tcPr>
            <w:tcW w:w="2231"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98%</w:t>
            </w:r>
          </w:p>
        </w:tc>
        <w:tc>
          <w:tcPr>
            <w:tcW w:w="1677"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c>
          <w:tcPr>
            <w:tcW w:w="3177"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c>
          <w:tcPr>
            <w:tcW w:w="3047" w:type="dxa"/>
            <w:vMerge w:val="restart"/>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本指标适用于城市</w:t>
            </w:r>
          </w:p>
        </w:tc>
      </w:tr>
      <w:tr w:rsidR="0084009B">
        <w:trPr>
          <w:trHeight w:val="375"/>
        </w:trPr>
        <w:tc>
          <w:tcPr>
            <w:tcW w:w="765"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21</w:t>
            </w:r>
          </w:p>
        </w:tc>
        <w:tc>
          <w:tcPr>
            <w:tcW w:w="3278"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主城区回收网点覆盖率</w:t>
            </w:r>
          </w:p>
        </w:tc>
        <w:tc>
          <w:tcPr>
            <w:tcW w:w="2231"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100%</w:t>
            </w:r>
          </w:p>
        </w:tc>
        <w:tc>
          <w:tcPr>
            <w:tcW w:w="1677"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c>
          <w:tcPr>
            <w:tcW w:w="3177"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c>
          <w:tcPr>
            <w:tcW w:w="3047" w:type="dxa"/>
            <w:vMerge/>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p>
        </w:tc>
      </w:tr>
      <w:tr w:rsidR="0084009B">
        <w:trPr>
          <w:trHeight w:val="1226"/>
        </w:trPr>
        <w:tc>
          <w:tcPr>
            <w:tcW w:w="765"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22</w:t>
            </w:r>
          </w:p>
        </w:tc>
        <w:tc>
          <w:tcPr>
            <w:tcW w:w="3278"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城市生活污水集中收集率</w:t>
            </w:r>
          </w:p>
        </w:tc>
        <w:tc>
          <w:tcPr>
            <w:tcW w:w="2231"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75%</w:t>
            </w:r>
            <w:r w:rsidRPr="00DA2698">
              <w:rPr>
                <w:rFonts w:ascii="仿宋_GB2312" w:eastAsia="仿宋_GB2312" w:hAnsi="仿宋_GB2312" w:cs="仿宋_GB2312" w:hint="eastAsia"/>
                <w:sz w:val="24"/>
                <w:szCs w:val="24"/>
              </w:rPr>
              <w:t>或持续提高</w:t>
            </w:r>
          </w:p>
        </w:tc>
        <w:tc>
          <w:tcPr>
            <w:tcW w:w="1677"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c>
          <w:tcPr>
            <w:tcW w:w="3047" w:type="dxa"/>
            <w:tcBorders>
              <w:top w:val="single" w:sz="2" w:space="0" w:color="000000"/>
              <w:left w:val="single" w:sz="2" w:space="0" w:color="000000"/>
              <w:bottom w:val="single" w:sz="2" w:space="0" w:color="000000"/>
              <w:right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本指标适用于城市，采用城市生活污水处理率，目标值为</w:t>
            </w:r>
            <w:r w:rsidRPr="00DA2698">
              <w:rPr>
                <w:rFonts w:ascii="仿宋_GB2312" w:eastAsia="仿宋_GB2312" w:hAnsi="仿宋_GB2312" w:cs="仿宋_GB2312"/>
                <w:sz w:val="24"/>
                <w:szCs w:val="24"/>
              </w:rPr>
              <w:t>95%</w:t>
            </w:r>
          </w:p>
        </w:tc>
      </w:tr>
      <w:tr w:rsidR="0084009B">
        <w:trPr>
          <w:trHeight w:val="88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23</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环境空气质量指数（</w:t>
            </w:r>
            <w:r w:rsidRPr="00DA2698">
              <w:rPr>
                <w:rFonts w:ascii="仿宋_GB2312" w:eastAsia="仿宋_GB2312" w:hAnsi="仿宋_GB2312" w:cs="仿宋_GB2312"/>
                <w:sz w:val="24"/>
                <w:szCs w:val="24"/>
              </w:rPr>
              <w:t>AQI</w:t>
            </w:r>
            <w:r w:rsidRPr="00DA2698">
              <w:rPr>
                <w:rFonts w:ascii="仿宋_GB2312" w:eastAsia="仿宋_GB2312" w:hAnsi="仿宋_GB2312" w:cs="仿宋_GB2312" w:hint="eastAsia"/>
                <w:sz w:val="24"/>
                <w:szCs w:val="24"/>
              </w:rPr>
              <w:t>）不超过</w:t>
            </w:r>
            <w:r w:rsidRPr="00DA2698">
              <w:rPr>
                <w:rFonts w:ascii="仿宋_GB2312" w:eastAsia="仿宋_GB2312" w:hAnsi="仿宋_GB2312" w:cs="仿宋_GB2312"/>
                <w:sz w:val="24"/>
                <w:szCs w:val="24"/>
              </w:rPr>
              <w:t>100</w:t>
            </w:r>
            <w:r w:rsidRPr="00DA2698">
              <w:rPr>
                <w:rFonts w:ascii="仿宋_GB2312" w:eastAsia="仿宋_GB2312" w:hAnsi="仿宋_GB2312" w:cs="仿宋_GB2312" w:hint="eastAsia"/>
                <w:sz w:val="24"/>
                <w:szCs w:val="24"/>
              </w:rPr>
              <w:t>的天数</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320</w:t>
            </w:r>
            <w:r w:rsidRPr="00DA2698">
              <w:rPr>
                <w:rFonts w:ascii="仿宋_GB2312" w:eastAsia="仿宋_GB2312" w:hAnsi="仿宋_GB2312" w:cs="仿宋_GB2312" w:hint="eastAsia"/>
                <w:sz w:val="24"/>
                <w:szCs w:val="24"/>
              </w:rPr>
              <w:t>天或持续改善</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目标值为≥</w:t>
            </w:r>
            <w:r w:rsidRPr="00DA2698">
              <w:rPr>
                <w:rFonts w:ascii="仿宋_GB2312" w:eastAsia="仿宋_GB2312" w:hAnsi="仿宋_GB2312" w:cs="仿宋_GB2312"/>
                <w:sz w:val="24"/>
                <w:szCs w:val="24"/>
              </w:rPr>
              <w:t>300</w:t>
            </w:r>
            <w:r w:rsidRPr="00DA2698">
              <w:rPr>
                <w:rFonts w:ascii="仿宋_GB2312" w:eastAsia="仿宋_GB2312" w:hAnsi="仿宋_GB2312" w:cs="仿宋_GB2312" w:hint="eastAsia"/>
                <w:sz w:val="24"/>
                <w:szCs w:val="24"/>
              </w:rPr>
              <w:t>天或持续改善</w:t>
            </w:r>
          </w:p>
        </w:tc>
      </w:tr>
      <w:tr w:rsidR="0084009B">
        <w:trPr>
          <w:trHeight w:val="73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24</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环境空气主要污染物年均值</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达到国家《环境空</w:t>
            </w:r>
          </w:p>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气质量标准》二级</w:t>
            </w:r>
          </w:p>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标准</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62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25</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区域环境噪声控制平均值</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55</w:t>
            </w:r>
            <w:r w:rsidRPr="00DA2698">
              <w:rPr>
                <w:rFonts w:ascii="仿宋_GB2312" w:eastAsia="仿宋_GB2312" w:hAnsi="仿宋_GB2312" w:cs="仿宋_GB2312" w:hint="eastAsia"/>
                <w:sz w:val="24"/>
                <w:szCs w:val="24"/>
              </w:rPr>
              <w:t>分贝</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3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26</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声功能区环境质量夜间达标率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75</w:t>
            </w:r>
            <w:r w:rsidRPr="00DA2698">
              <w:rPr>
                <w:rFonts w:ascii="仿宋_GB2312" w:eastAsia="仿宋_GB2312" w:hAnsi="仿宋_GB2312" w:cs="仿宋_GB2312" w:hint="eastAsia"/>
                <w:sz w:val="24"/>
                <w:szCs w:val="24"/>
              </w:rPr>
              <w:t>％</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环保办</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27</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集中式饮用水水源地水质达标率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村建服务中心</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3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28</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医疗废物无害化处置率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3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29</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学校校医或专（兼）职保健教师</w:t>
            </w:r>
          </w:p>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配备比率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sz w:val="24"/>
                <w:szCs w:val="24"/>
              </w:rPr>
              <w:t>&gt;70</w:t>
            </w:r>
            <w:r w:rsidRPr="00DA2698">
              <w:rPr>
                <w:rFonts w:ascii="仿宋_GB2312" w:eastAsia="仿宋_GB2312" w:hAnsi="仿宋_GB2312" w:cs="仿宋_GB2312" w:hint="eastAsia"/>
                <w:sz w:val="24"/>
                <w:szCs w:val="24"/>
              </w:rPr>
              <w:t>％</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567"/>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30</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中小学体育与健康课程开课率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31</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中小学生每天校内体育活动时间</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1</w:t>
            </w:r>
            <w:r w:rsidRPr="00DA2698">
              <w:rPr>
                <w:rFonts w:ascii="仿宋_GB2312" w:eastAsia="仿宋_GB2312" w:hAnsi="仿宋_GB2312" w:cs="仿宋_GB2312" w:hint="eastAsia"/>
                <w:sz w:val="24"/>
                <w:szCs w:val="24"/>
              </w:rPr>
              <w:t>小时</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567"/>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32</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学校眼保健操普及率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100%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567"/>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33</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中小学生近视率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逐年下降</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567"/>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34</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中小学生肥胖率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逐年下降</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中心学校</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3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35</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存在职业病目录所列职业病危害因素的企业职业病危害项目申报率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sz w:val="24"/>
                <w:szCs w:val="24"/>
              </w:rPr>
              <w:t>&gt;90</w:t>
            </w:r>
            <w:r w:rsidRPr="00DA2698">
              <w:rPr>
                <w:rFonts w:ascii="仿宋_GB2312" w:eastAsia="仿宋_GB2312" w:hAnsi="仿宋_GB2312" w:cs="仿宋_GB2312" w:hint="eastAsia"/>
                <w:sz w:val="24"/>
                <w:szCs w:val="24"/>
              </w:rPr>
              <w:t>％</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经贸</w:t>
            </w:r>
            <w:r w:rsidRPr="00DA2698">
              <w:rPr>
                <w:rFonts w:ascii="仿宋_GB2312" w:eastAsia="仿宋_GB2312" w:hAnsi="仿宋_GB2312" w:cs="仿宋_GB2312" w:hint="eastAsia"/>
                <w:sz w:val="24"/>
                <w:szCs w:val="24"/>
              </w:rPr>
              <w:t>服务中心</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3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36</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食品生产经营风险分级管理率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90</w:t>
            </w:r>
            <w:r w:rsidRPr="00DA2698">
              <w:rPr>
                <w:rFonts w:ascii="仿宋_GB2312" w:eastAsia="仿宋_GB2312" w:hAnsi="仿宋_GB2312" w:cs="仿宋_GB2312" w:hint="eastAsia"/>
                <w:sz w:val="24"/>
                <w:szCs w:val="24"/>
              </w:rPr>
              <w:t>％</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市场监督管理所</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市场监督管理所</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1094"/>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37</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个人卫生支出占卫生总费用的比重</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25%</w:t>
            </w:r>
            <w:r w:rsidRPr="00DA2698">
              <w:rPr>
                <w:rFonts w:ascii="仿宋_GB2312" w:eastAsia="仿宋_GB2312" w:hAnsi="仿宋_GB2312" w:cs="仿宋_GB2312" w:hint="eastAsia"/>
                <w:sz w:val="24"/>
                <w:szCs w:val="24"/>
              </w:rPr>
              <w:t>或持续降低</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财政所、卫生院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7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38</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甲、乙类法定传染病报告发病率</w:t>
            </w:r>
          </w:p>
        </w:tc>
        <w:tc>
          <w:tcPr>
            <w:tcW w:w="2231" w:type="dxa"/>
            <w:tcBorders>
              <w:top w:val="single" w:sz="2" w:space="0" w:color="000000"/>
              <w:bottom w:val="single" w:sz="2" w:space="0" w:color="000000"/>
            </w:tcBorders>
            <w:vAlign w:val="center"/>
          </w:tcPr>
          <w:p w:rsidR="0084009B" w:rsidRPr="00425AAA" w:rsidRDefault="0084009B" w:rsidP="00DA2698">
            <w:pPr>
              <w:spacing w:line="440" w:lineRule="exact"/>
              <w:jc w:val="center"/>
              <w:rPr>
                <w:rFonts w:ascii="仿宋_GB2312" w:eastAsia="仿宋_GB2312" w:hAnsi="仿宋_GB2312" w:cs="Times New Roman"/>
              </w:rPr>
            </w:pPr>
            <w:r w:rsidRPr="00425AAA">
              <w:rPr>
                <w:rFonts w:ascii="仿宋_GB2312" w:eastAsia="仿宋_GB2312" w:hAnsi="仿宋_GB2312" w:cs="仿宋_GB2312" w:hint="eastAsia"/>
              </w:rPr>
              <w:t>不高于近</w:t>
            </w:r>
            <w:r w:rsidRPr="00425AAA">
              <w:rPr>
                <w:rFonts w:ascii="仿宋_GB2312" w:eastAsia="仿宋_GB2312" w:hAnsi="仿宋_GB2312" w:cs="仿宋_GB2312"/>
              </w:rPr>
              <w:t>5</w:t>
            </w:r>
            <w:r w:rsidRPr="00425AAA">
              <w:rPr>
                <w:rFonts w:ascii="仿宋_GB2312" w:eastAsia="仿宋_GB2312" w:hAnsi="仿宋_GB2312" w:cs="仿宋_GB2312" w:hint="eastAsia"/>
              </w:rPr>
              <w:t>年平均水平</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648"/>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39</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婴儿死亡率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5.6</w:t>
            </w:r>
            <w:r w:rsidRPr="00DA2698">
              <w:rPr>
                <w:rFonts w:ascii="仿宋_GB2312" w:eastAsia="仿宋_GB2312" w:hAnsi="仿宋_GB2312" w:cs="仿宋_GB2312" w:hint="eastAsia"/>
                <w:sz w:val="24"/>
                <w:szCs w:val="24"/>
              </w:rPr>
              <w:t>‰或持续降低</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606"/>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40</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sz w:val="24"/>
                <w:szCs w:val="24"/>
              </w:rPr>
              <w:t>5</w:t>
            </w:r>
            <w:r w:rsidRPr="00DA2698">
              <w:rPr>
                <w:rFonts w:ascii="仿宋_GB2312" w:eastAsia="仿宋_GB2312" w:hAnsi="仿宋_GB2312" w:cs="仿宋_GB2312" w:hint="eastAsia"/>
                <w:sz w:val="24"/>
                <w:szCs w:val="24"/>
              </w:rPr>
              <w:t>岁以下儿童死亡率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7.8</w:t>
            </w:r>
            <w:r w:rsidRPr="00DA2698">
              <w:rPr>
                <w:rFonts w:ascii="仿宋_GB2312" w:eastAsia="仿宋_GB2312" w:hAnsi="仿宋_GB2312" w:cs="仿宋_GB2312" w:hint="eastAsia"/>
                <w:sz w:val="24"/>
                <w:szCs w:val="24"/>
              </w:rPr>
              <w:t>‰或持续降低</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3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41</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孕产妇死亡率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18/10</w:t>
            </w:r>
            <w:r w:rsidRPr="00DA2698">
              <w:rPr>
                <w:rFonts w:ascii="仿宋_GB2312" w:eastAsia="仿宋_GB2312" w:hAnsi="仿宋_GB2312" w:cs="仿宋_GB2312" w:hint="eastAsia"/>
                <w:sz w:val="24"/>
                <w:szCs w:val="24"/>
              </w:rPr>
              <w:t>万或持续降低</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90"/>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42</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人均预期寿命</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78.3</w:t>
            </w:r>
            <w:r w:rsidRPr="00DA2698">
              <w:rPr>
                <w:rFonts w:ascii="仿宋_GB2312" w:eastAsia="仿宋_GB2312" w:hAnsi="仿宋_GB2312" w:cs="仿宋_GB2312" w:hint="eastAsia"/>
                <w:sz w:val="24"/>
                <w:szCs w:val="24"/>
              </w:rPr>
              <w:t>岁或逐年提高</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735"/>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43</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以街道（乡、镇）为单位适龄儿童免疫规划疫苗接种率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44</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居住满</w:t>
            </w: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个月以上的适龄儿童建卡、建证率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95%</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45</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辖区内</w:t>
            </w:r>
            <w:r w:rsidRPr="00DA2698">
              <w:rPr>
                <w:rFonts w:ascii="仿宋_GB2312" w:eastAsia="仿宋_GB2312" w:hAnsi="仿宋_GB2312" w:cs="仿宋_GB2312"/>
                <w:sz w:val="24"/>
                <w:szCs w:val="24"/>
              </w:rPr>
              <w:t>3</w:t>
            </w:r>
            <w:r w:rsidRPr="00DA2698">
              <w:rPr>
                <w:rFonts w:ascii="仿宋_GB2312" w:eastAsia="仿宋_GB2312" w:hAnsi="仿宋_GB2312" w:cs="仿宋_GB2312" w:hint="eastAsia"/>
                <w:sz w:val="24"/>
                <w:szCs w:val="24"/>
              </w:rPr>
              <w:t>岁以下儿童系统管理率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46</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sz w:val="24"/>
                <w:szCs w:val="24"/>
              </w:rPr>
              <w:t>0-6</w:t>
            </w:r>
            <w:r w:rsidRPr="00DA2698">
              <w:rPr>
                <w:rFonts w:ascii="仿宋_GB2312" w:eastAsia="仿宋_GB2312" w:hAnsi="仿宋_GB2312" w:cs="仿宋_GB2312" w:hint="eastAsia"/>
                <w:sz w:val="24"/>
                <w:szCs w:val="24"/>
              </w:rPr>
              <w:t>岁儿童眼保健和视力检查率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90%</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卫生院、中心学校、各村、社区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47</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重大慢性病过早死亡率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呈下降趋势</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48</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严重精神障碍患者规范管理率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85%</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派出所、综治办、各村、社区</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49</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每千常住人口医疗卫生机构床位数</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符合所在地区域卫生规划要求</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50</w:t>
            </w:r>
          </w:p>
        </w:tc>
        <w:tc>
          <w:tcPr>
            <w:tcW w:w="3278" w:type="dxa"/>
            <w:tcBorders>
              <w:top w:val="single" w:sz="2" w:space="0" w:color="000000"/>
              <w:bottom w:val="single" w:sz="2" w:space="0" w:color="000000"/>
            </w:tcBorders>
            <w:vAlign w:val="center"/>
          </w:tcPr>
          <w:p w:rsidR="0084009B"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每千常住人口执业（助理）</w:t>
            </w:r>
          </w:p>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医师数</w:t>
            </w:r>
          </w:p>
        </w:tc>
        <w:tc>
          <w:tcPr>
            <w:tcW w:w="2231" w:type="dxa"/>
            <w:vMerge w:val="restart"/>
            <w:tcBorders>
              <w:top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达到国家病媒生物密度控制水平标准</w:t>
            </w:r>
            <w:r w:rsidRPr="00DA2698">
              <w:rPr>
                <w:rFonts w:ascii="仿宋_GB2312" w:eastAsia="仿宋_GB2312" w:hAnsi="仿宋_GB2312" w:cs="仿宋_GB2312"/>
                <w:sz w:val="24"/>
                <w:szCs w:val="24"/>
              </w:rPr>
              <w:t>C</w:t>
            </w:r>
            <w:r w:rsidRPr="00DA2698">
              <w:rPr>
                <w:rFonts w:ascii="仿宋_GB2312" w:eastAsia="仿宋_GB2312" w:hAnsi="仿宋_GB2312" w:cs="仿宋_GB2312" w:hint="eastAsia"/>
                <w:sz w:val="24"/>
                <w:szCs w:val="24"/>
              </w:rPr>
              <w:t>级要求</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51</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每千常住人口注册护士数</w:t>
            </w:r>
          </w:p>
        </w:tc>
        <w:tc>
          <w:tcPr>
            <w:tcW w:w="2231" w:type="dxa"/>
            <w:vMerge/>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52</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每千常住人口公共卫生人员数</w:t>
            </w:r>
          </w:p>
        </w:tc>
        <w:tc>
          <w:tcPr>
            <w:tcW w:w="2231" w:type="dxa"/>
            <w:vMerge/>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53</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每千常住人口药师（药士）数</w:t>
            </w:r>
          </w:p>
        </w:tc>
        <w:tc>
          <w:tcPr>
            <w:tcW w:w="2231" w:type="dxa"/>
            <w:vMerge/>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54</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每万常住人口全科医生数</w:t>
            </w:r>
          </w:p>
        </w:tc>
        <w:tc>
          <w:tcPr>
            <w:tcW w:w="2231" w:type="dxa"/>
            <w:vMerge/>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卫生院</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55</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建成区鼠、蚊、蝇、蟑螂的密度</w:t>
            </w:r>
          </w:p>
        </w:tc>
        <w:tc>
          <w:tcPr>
            <w:tcW w:w="2231" w:type="dxa"/>
            <w:vMerge/>
            <w:tcBorders>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r w:rsidR="0084009B">
        <w:trPr>
          <w:trHeight w:val="382"/>
        </w:trPr>
        <w:tc>
          <w:tcPr>
            <w:tcW w:w="765"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sz w:val="24"/>
                <w:szCs w:val="24"/>
              </w:rPr>
              <w:t>56</w:t>
            </w:r>
          </w:p>
        </w:tc>
        <w:tc>
          <w:tcPr>
            <w:tcW w:w="3278"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重点行业和单位防蝇和防鼠设施合格率</w:t>
            </w:r>
          </w:p>
        </w:tc>
        <w:tc>
          <w:tcPr>
            <w:tcW w:w="2231"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仿宋_GB2312"/>
                <w:sz w:val="24"/>
                <w:szCs w:val="24"/>
              </w:rPr>
            </w:pPr>
            <w:r w:rsidRPr="00DA2698">
              <w:rPr>
                <w:rFonts w:ascii="仿宋_GB2312" w:eastAsia="仿宋_GB2312" w:hAnsi="仿宋_GB2312" w:cs="仿宋_GB2312" w:hint="eastAsia"/>
                <w:sz w:val="24"/>
                <w:szCs w:val="24"/>
              </w:rPr>
              <w:t>≥</w:t>
            </w:r>
            <w:r w:rsidRPr="00DA2698">
              <w:rPr>
                <w:rFonts w:ascii="仿宋_GB2312" w:eastAsia="仿宋_GB2312" w:hAnsi="仿宋_GB2312" w:cs="仿宋_GB2312"/>
                <w:sz w:val="24"/>
                <w:szCs w:val="24"/>
              </w:rPr>
              <w:t>95%</w:t>
            </w:r>
          </w:p>
        </w:tc>
        <w:tc>
          <w:tcPr>
            <w:tcW w:w="16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17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r w:rsidRPr="00DA2698">
              <w:rPr>
                <w:rFonts w:ascii="仿宋_GB2312" w:eastAsia="仿宋_GB2312" w:hAnsi="仿宋_GB2312" w:cs="仿宋_GB2312" w:hint="eastAsia"/>
                <w:sz w:val="24"/>
                <w:szCs w:val="24"/>
              </w:rPr>
              <w:t>卫健办</w:t>
            </w:r>
          </w:p>
        </w:tc>
        <w:tc>
          <w:tcPr>
            <w:tcW w:w="3047" w:type="dxa"/>
            <w:tcBorders>
              <w:top w:val="single" w:sz="2" w:space="0" w:color="000000"/>
              <w:bottom w:val="single" w:sz="2" w:space="0" w:color="000000"/>
            </w:tcBorders>
            <w:vAlign w:val="center"/>
          </w:tcPr>
          <w:p w:rsidR="0084009B" w:rsidRPr="00DA2698" w:rsidRDefault="0084009B" w:rsidP="00DA2698">
            <w:pPr>
              <w:spacing w:line="440" w:lineRule="exact"/>
              <w:jc w:val="center"/>
              <w:rPr>
                <w:rFonts w:ascii="仿宋_GB2312" w:eastAsia="仿宋_GB2312" w:hAnsi="仿宋_GB2312" w:cs="Times New Roman"/>
                <w:sz w:val="24"/>
                <w:szCs w:val="24"/>
              </w:rPr>
            </w:pPr>
          </w:p>
        </w:tc>
      </w:tr>
    </w:tbl>
    <w:p w:rsidR="0084009B" w:rsidRDefault="0084009B">
      <w:pPr>
        <w:spacing w:line="560" w:lineRule="exact"/>
        <w:rPr>
          <w:rFonts w:cs="Times New Roman"/>
        </w:rPr>
      </w:pPr>
      <w:r>
        <w:rPr>
          <w:rFonts w:ascii="仿宋_GB2312" w:eastAsia="仿宋_GB2312" w:hAnsi="仿宋_GB2312" w:cs="仿宋_GB2312" w:hint="eastAsia"/>
          <w:sz w:val="24"/>
          <w:szCs w:val="24"/>
        </w:rPr>
        <w:t>注：评价指标和目标值根据社会经济发展状况适时调整。</w:t>
      </w:r>
    </w:p>
    <w:sectPr w:rsidR="0084009B" w:rsidSect="00EC0A5C">
      <w:footerReference w:type="default" r:id="rId8"/>
      <w:pgSz w:w="16839" w:h="11906"/>
      <w:pgMar w:top="2098" w:right="1474" w:bottom="1984" w:left="158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09B" w:rsidRDefault="0084009B">
      <w:pPr>
        <w:rPr>
          <w:rFonts w:cs="Times New Roman"/>
        </w:rPr>
      </w:pPr>
      <w:r>
        <w:rPr>
          <w:rFonts w:cs="Times New Roman"/>
        </w:rPr>
        <w:separator/>
      </w:r>
    </w:p>
  </w:endnote>
  <w:endnote w:type="continuationSeparator" w:id="0">
    <w:p w:rsidR="0084009B" w:rsidRDefault="0084009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9B" w:rsidRDefault="0084009B">
    <w:pPr>
      <w:spacing w:line="197" w:lineRule="auto"/>
      <w:rPr>
        <w:rFonts w:ascii="Times New Roman" w:hAnsi="Times New Roman" w:cs="Times New Roman"/>
        <w:sz w:val="17"/>
        <w:szCs w:val="17"/>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84009B" w:rsidRDefault="0084009B">
                <w:pPr>
                  <w:pStyle w:val="Footer"/>
                  <w:rPr>
                    <w:rFonts w:cs="Times New Roman"/>
                  </w:rPr>
                </w:pPr>
                <w:fldSimple w:instr=" PAGE  \* MERGEFORMAT ">
                  <w:r>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9B" w:rsidRDefault="0084009B">
    <w:pPr>
      <w:spacing w:line="197" w:lineRule="auto"/>
      <w:ind w:left="110"/>
      <w:rPr>
        <w:rFonts w:ascii="Times New Roman" w:hAnsi="Times New Roman" w:cs="Times New Roman"/>
        <w:sz w:val="17"/>
        <w:szCs w:val="17"/>
      </w:rPr>
    </w:pPr>
    <w:r>
      <w:rPr>
        <w:noProof/>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 filled="f" stroked="f" strokeweight=".5pt">
          <v:textbox style="mso-fit-shape-to-text:t" inset="0,0,0,0">
            <w:txbxContent>
              <w:p w:rsidR="0084009B" w:rsidRDefault="0084009B">
                <w:pPr>
                  <w:pStyle w:val="Footer"/>
                  <w:rPr>
                    <w:rFonts w:cs="Times New Roman"/>
                  </w:rPr>
                </w:pPr>
                <w:fldSimple w:instr=" PAGE  \* MERGEFORMAT ">
                  <w:r>
                    <w:rPr>
                      <w:noProof/>
                    </w:rPr>
                    <w:t>8</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9B" w:rsidRDefault="0084009B" w:rsidP="00C7151C">
    <w:pPr>
      <w:pStyle w:val="Footer"/>
      <w:framePr w:wrap="auto" w:vAnchor="text" w:hAnchor="page" w:x="8428" w:y="-1224"/>
      <w:rPr>
        <w:rStyle w:val="PageNumber"/>
        <w:rFonts w:cs="Times New Roman"/>
      </w:rPr>
    </w:pPr>
  </w:p>
  <w:p w:rsidR="0084009B" w:rsidRDefault="0084009B">
    <w:pPr>
      <w:spacing w:line="14" w:lineRule="auto"/>
      <w:rPr>
        <w:rFonts w:cs="Times New Roman"/>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0;margin-top:0;width:2in;height:2in;z-index:251664384;mso-wrap-style:none;mso-position-horizontal:center;mso-position-horizontal-relative:margin" filled="f" stroked="f" strokeweight=".5pt">
          <v:textbox style="mso-fit-shape-to-text:t" inset="0,0,0,0">
            <w:txbxContent>
              <w:p w:rsidR="0084009B" w:rsidRDefault="0084009B">
                <w:pPr>
                  <w:pStyle w:val="Footer"/>
                  <w:rPr>
                    <w:rFonts w:cs="Times New Roman"/>
                  </w:rPr>
                </w:pPr>
                <w:fldSimple w:instr=" PAGE  \* MERGEFORMAT ">
                  <w:r>
                    <w:rPr>
                      <w:noProof/>
                    </w:rPr>
                    <w:t>18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09B" w:rsidRDefault="0084009B">
      <w:pPr>
        <w:rPr>
          <w:rFonts w:cs="Times New Roman"/>
        </w:rPr>
      </w:pPr>
      <w:r>
        <w:rPr>
          <w:rFonts w:cs="Times New Roman"/>
        </w:rPr>
        <w:separator/>
      </w:r>
    </w:p>
  </w:footnote>
  <w:footnote w:type="continuationSeparator" w:id="0">
    <w:p w:rsidR="0084009B" w:rsidRDefault="0084009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ZiNjkwZmQ5MzJmNTdhNjE1MDVjNjcxYjZiOTk5M2EifQ=="/>
  </w:docVars>
  <w:rsids>
    <w:rsidRoot w:val="279E0338"/>
    <w:rsid w:val="000930BB"/>
    <w:rsid w:val="000B6918"/>
    <w:rsid w:val="000C7964"/>
    <w:rsid w:val="00113AAD"/>
    <w:rsid w:val="00160194"/>
    <w:rsid w:val="001F176B"/>
    <w:rsid w:val="003109FB"/>
    <w:rsid w:val="00366686"/>
    <w:rsid w:val="00425AAA"/>
    <w:rsid w:val="004E0A52"/>
    <w:rsid w:val="00545357"/>
    <w:rsid w:val="00592383"/>
    <w:rsid w:val="0059267C"/>
    <w:rsid w:val="00631D4B"/>
    <w:rsid w:val="007856C2"/>
    <w:rsid w:val="007E0DBF"/>
    <w:rsid w:val="0084009B"/>
    <w:rsid w:val="008873F7"/>
    <w:rsid w:val="008E6246"/>
    <w:rsid w:val="008F4323"/>
    <w:rsid w:val="00912589"/>
    <w:rsid w:val="00954AC5"/>
    <w:rsid w:val="00A11277"/>
    <w:rsid w:val="00A461F3"/>
    <w:rsid w:val="00B64B88"/>
    <w:rsid w:val="00B96352"/>
    <w:rsid w:val="00BD3C72"/>
    <w:rsid w:val="00C15C8D"/>
    <w:rsid w:val="00C20FE2"/>
    <w:rsid w:val="00C7151C"/>
    <w:rsid w:val="00CF6DCD"/>
    <w:rsid w:val="00DA2698"/>
    <w:rsid w:val="00DB4A48"/>
    <w:rsid w:val="00E34A2C"/>
    <w:rsid w:val="00E45A7D"/>
    <w:rsid w:val="00E52B5F"/>
    <w:rsid w:val="00E71D3D"/>
    <w:rsid w:val="00EB7267"/>
    <w:rsid w:val="00EC0A5C"/>
    <w:rsid w:val="00FE0BEA"/>
    <w:rsid w:val="03C83754"/>
    <w:rsid w:val="05E568CC"/>
    <w:rsid w:val="077211D8"/>
    <w:rsid w:val="0ACA6D38"/>
    <w:rsid w:val="0BE214D9"/>
    <w:rsid w:val="0D846F4C"/>
    <w:rsid w:val="0F986232"/>
    <w:rsid w:val="10AE1EE8"/>
    <w:rsid w:val="123F000C"/>
    <w:rsid w:val="14F52C04"/>
    <w:rsid w:val="151B2261"/>
    <w:rsid w:val="179E5A5A"/>
    <w:rsid w:val="17DF27B6"/>
    <w:rsid w:val="1AD50D4D"/>
    <w:rsid w:val="1C183DA8"/>
    <w:rsid w:val="1E9851A1"/>
    <w:rsid w:val="22501C54"/>
    <w:rsid w:val="24E71667"/>
    <w:rsid w:val="2643084E"/>
    <w:rsid w:val="279E0338"/>
    <w:rsid w:val="27F31225"/>
    <w:rsid w:val="28C36E49"/>
    <w:rsid w:val="2A4346E5"/>
    <w:rsid w:val="2B192E68"/>
    <w:rsid w:val="2BF437BD"/>
    <w:rsid w:val="2CAF0BED"/>
    <w:rsid w:val="2CD53F1D"/>
    <w:rsid w:val="31560BA1"/>
    <w:rsid w:val="31B21977"/>
    <w:rsid w:val="38B844F1"/>
    <w:rsid w:val="39AD73C5"/>
    <w:rsid w:val="3F7D7A47"/>
    <w:rsid w:val="44564AA3"/>
    <w:rsid w:val="44565437"/>
    <w:rsid w:val="45C83899"/>
    <w:rsid w:val="4C1E0175"/>
    <w:rsid w:val="4C2430DE"/>
    <w:rsid w:val="4DE374C2"/>
    <w:rsid w:val="4DE71075"/>
    <w:rsid w:val="50830AE8"/>
    <w:rsid w:val="509251CF"/>
    <w:rsid w:val="528F7C18"/>
    <w:rsid w:val="53603363"/>
    <w:rsid w:val="56244AB5"/>
    <w:rsid w:val="56EC1EA6"/>
    <w:rsid w:val="5765363E"/>
    <w:rsid w:val="5942371C"/>
    <w:rsid w:val="5AB1434E"/>
    <w:rsid w:val="5BCD5096"/>
    <w:rsid w:val="601A2949"/>
    <w:rsid w:val="61941513"/>
    <w:rsid w:val="63C811DC"/>
    <w:rsid w:val="64265F03"/>
    <w:rsid w:val="66F422E8"/>
    <w:rsid w:val="694640A3"/>
    <w:rsid w:val="699658D9"/>
    <w:rsid w:val="6DA20A63"/>
    <w:rsid w:val="6DD91A22"/>
    <w:rsid w:val="6FC248D7"/>
    <w:rsid w:val="6FEB50BB"/>
    <w:rsid w:val="703A5210"/>
    <w:rsid w:val="70E909E4"/>
    <w:rsid w:val="73107E04"/>
    <w:rsid w:val="7384524F"/>
    <w:rsid w:val="75F036C2"/>
    <w:rsid w:val="76592168"/>
    <w:rsid w:val="7A811C8D"/>
    <w:rsid w:val="7AD16BF5"/>
    <w:rsid w:val="7BB33088"/>
    <w:rsid w:val="7E05083C"/>
    <w:rsid w:val="7FFF11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5C"/>
    <w:pPr>
      <w:kinsoku w:val="0"/>
      <w:autoSpaceDE w:val="0"/>
      <w:autoSpaceDN w:val="0"/>
      <w:adjustRightInd w:val="0"/>
      <w:snapToGrid w:val="0"/>
      <w:textAlignment w:val="baseline"/>
    </w:pPr>
    <w:rPr>
      <w:rFonts w:ascii="Arial" w:hAnsi="Arial" w:cs="Arial"/>
      <w:color w:val="000000"/>
      <w:kern w:val="0"/>
      <w:szCs w:val="21"/>
    </w:rPr>
  </w:style>
  <w:style w:type="paragraph" w:styleId="Heading1">
    <w:name w:val="heading 1"/>
    <w:basedOn w:val="Normal"/>
    <w:next w:val="Normal"/>
    <w:link w:val="Heading1Char"/>
    <w:uiPriority w:val="99"/>
    <w:qFormat/>
    <w:rsid w:val="00EC0A5C"/>
    <w:pPr>
      <w:keepNext/>
      <w:keepLines/>
      <w:spacing w:line="560" w:lineRule="exact"/>
      <w:ind w:firstLineChars="200" w:firstLine="420"/>
      <w:outlineLvl w:val="0"/>
    </w:pPr>
    <w:rPr>
      <w:rFonts w:eastAsia="黑体"/>
      <w:kern w:val="44"/>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73F7"/>
    <w:rPr>
      <w:rFonts w:ascii="Arial" w:hAnsi="Arial" w:cs="Arial"/>
      <w:b/>
      <w:bCs/>
      <w:color w:val="000000"/>
      <w:kern w:val="44"/>
      <w:sz w:val="44"/>
      <w:szCs w:val="44"/>
    </w:rPr>
  </w:style>
  <w:style w:type="paragraph" w:styleId="Footer">
    <w:name w:val="footer"/>
    <w:basedOn w:val="Normal"/>
    <w:link w:val="FooterChar"/>
    <w:uiPriority w:val="99"/>
    <w:rsid w:val="00EC0A5C"/>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8873F7"/>
    <w:rPr>
      <w:rFonts w:ascii="Arial" w:hAnsi="Arial" w:cs="Arial"/>
      <w:color w:val="000000"/>
      <w:kern w:val="0"/>
      <w:sz w:val="18"/>
      <w:szCs w:val="18"/>
    </w:rPr>
  </w:style>
  <w:style w:type="paragraph" w:styleId="Header">
    <w:name w:val="header"/>
    <w:basedOn w:val="Normal"/>
    <w:link w:val="HeaderChar"/>
    <w:uiPriority w:val="99"/>
    <w:rsid w:val="00EC0A5C"/>
    <w:pPr>
      <w:pBdr>
        <w:top w:val="none" w:sz="0" w:space="1" w:color="auto"/>
        <w:left w:val="none" w:sz="0" w:space="4" w:color="auto"/>
        <w:bottom w:val="none" w:sz="0" w:space="1" w:color="auto"/>
        <w:right w:val="none" w:sz="0" w:space="4" w:color="auto"/>
      </w:pBdr>
      <w:tabs>
        <w:tab w:val="center" w:pos="4153"/>
        <w:tab w:val="right" w:pos="8306"/>
      </w:tabs>
      <w:jc w:val="both"/>
    </w:pPr>
    <w:rPr>
      <w:sz w:val="18"/>
      <w:szCs w:val="18"/>
    </w:rPr>
  </w:style>
  <w:style w:type="character" w:customStyle="1" w:styleId="HeaderChar">
    <w:name w:val="Header Char"/>
    <w:basedOn w:val="DefaultParagraphFont"/>
    <w:link w:val="Header"/>
    <w:uiPriority w:val="99"/>
    <w:semiHidden/>
    <w:locked/>
    <w:rsid w:val="008873F7"/>
    <w:rPr>
      <w:rFonts w:ascii="Arial" w:hAnsi="Arial" w:cs="Arial"/>
      <w:color w:val="000000"/>
      <w:kern w:val="0"/>
      <w:sz w:val="18"/>
      <w:szCs w:val="18"/>
    </w:rPr>
  </w:style>
  <w:style w:type="table" w:styleId="TableGrid">
    <w:name w:val="Table Grid"/>
    <w:basedOn w:val="TableNormal"/>
    <w:uiPriority w:val="99"/>
    <w:rsid w:val="00EC0A5C"/>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EC0A5C"/>
    <w:rPr>
      <w:rFonts w:cs="Calibri"/>
      <w:kern w:val="0"/>
      <w:sz w:val="20"/>
      <w:szCs w:val="20"/>
    </w:rPr>
    <w:tblPr>
      <w:tblCellMar>
        <w:top w:w="0" w:type="dxa"/>
        <w:left w:w="0" w:type="dxa"/>
        <w:bottom w:w="0" w:type="dxa"/>
        <w:right w:w="0" w:type="dxa"/>
      </w:tblCellMar>
    </w:tblPr>
  </w:style>
  <w:style w:type="paragraph" w:customStyle="1" w:styleId="Style3">
    <w:name w:val="_Style 3"/>
    <w:uiPriority w:val="99"/>
    <w:rsid w:val="00A461F3"/>
    <w:pPr>
      <w:widowControl w:val="0"/>
      <w:jc w:val="both"/>
    </w:pPr>
    <w:rPr>
      <w:rFonts w:ascii="Times New Roman" w:hAnsi="Times New Roman"/>
      <w:szCs w:val="21"/>
    </w:rPr>
  </w:style>
  <w:style w:type="character" w:styleId="PageNumber">
    <w:name w:val="page number"/>
    <w:basedOn w:val="DefaultParagraphFont"/>
    <w:uiPriority w:val="99"/>
    <w:locked/>
    <w:rsid w:val="00E45A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23</Pages>
  <Words>1601</Words>
  <Characters>9131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木柠</dc:creator>
  <cp:keywords/>
  <dc:description/>
  <cp:lastModifiedBy>微软中国</cp:lastModifiedBy>
  <cp:revision>16</cp:revision>
  <cp:lastPrinted>2023-05-23T01:41:00Z</cp:lastPrinted>
  <dcterms:created xsi:type="dcterms:W3CDTF">2023-04-17T02:45:00Z</dcterms:created>
  <dcterms:modified xsi:type="dcterms:W3CDTF">2023-05-23T01:42:00Z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2CA5ACEFF2A744B2AD559485BB80F67E</vt:lpwstr>
  </property>
</Properties>
</file>