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附件3-1 </w:t>
      </w:r>
    </w:p>
    <w:p>
      <w:pPr>
        <w:jc w:val="center"/>
        <w:rPr>
          <w:rFonts w:ascii="方正小标宋简体" w:hAnsi="宋体" w:eastAsia="方正小标宋简体" w:cs="Times New Roman"/>
          <w:sz w:val="44"/>
          <w:szCs w:val="44"/>
        </w:rPr>
      </w:pPr>
      <w:r>
        <w:rPr>
          <w:rFonts w:hint="eastAsia" w:ascii="方正小标宋简体" w:hAnsi="宋体" w:eastAsia="方正小标宋简体" w:cs="方正小标宋简体"/>
          <w:sz w:val="44"/>
          <w:szCs w:val="44"/>
          <w:lang w:val="en-US" w:eastAsia="zh-CN"/>
        </w:rPr>
        <w:t>2023</w:t>
      </w:r>
      <w:r>
        <w:rPr>
          <w:rFonts w:hint="eastAsia" w:ascii="方正小标宋简体" w:hAnsi="宋体" w:eastAsia="方正小标宋简体" w:cs="方正小标宋简体"/>
          <w:sz w:val="44"/>
          <w:szCs w:val="44"/>
        </w:rPr>
        <w:t>年度部门整体绩效自评表</w:t>
      </w:r>
    </w:p>
    <w:p>
      <w:pPr>
        <w:widowControl/>
        <w:jc w:val="left"/>
        <w:rPr>
          <w:rFonts w:hint="default" w:ascii="楷体_GB2312" w:hAnsi="黑体" w:eastAsia="楷体_GB2312" w:cs="Times New Roman"/>
          <w:kern w:val="0"/>
          <w:sz w:val="26"/>
          <w:szCs w:val="26"/>
          <w:lang w:val="en-US" w:eastAsia="zh-CN"/>
        </w:rPr>
      </w:pPr>
      <w:r>
        <w:rPr>
          <w:rFonts w:hint="eastAsia" w:ascii="楷体_GB2312" w:hAnsi="仿宋" w:eastAsia="楷体_GB2312" w:cs="楷体_GB2312"/>
          <w:kern w:val="0"/>
          <w:sz w:val="26"/>
          <w:szCs w:val="26"/>
        </w:rPr>
        <w:t>单位名称：鄂州市公安局临空经济区分局</w:t>
      </w:r>
      <w:r>
        <w:rPr>
          <w:rFonts w:ascii="楷体_GB2312" w:hAnsi="仿宋" w:eastAsia="楷体_GB2312" w:cs="楷体_GB2312"/>
          <w:kern w:val="0"/>
          <w:sz w:val="26"/>
          <w:szCs w:val="26"/>
        </w:rPr>
        <w:t xml:space="preserve"> </w:t>
      </w:r>
      <w:r>
        <w:rPr>
          <w:rFonts w:hint="eastAsia" w:ascii="楷体_GB2312" w:hAnsi="仿宋" w:eastAsia="楷体_GB2312" w:cs="楷体_GB2312"/>
          <w:kern w:val="0"/>
          <w:sz w:val="26"/>
          <w:szCs w:val="26"/>
          <w:lang w:val="en-US" w:eastAsia="zh-CN"/>
        </w:rPr>
        <w:t xml:space="preserve">  </w:t>
      </w:r>
      <w:r>
        <w:rPr>
          <w:rFonts w:hint="eastAsia" w:ascii="楷体_GB2312" w:hAnsi="仿宋" w:eastAsia="楷体_GB2312" w:cs="楷体_GB2312"/>
          <w:kern w:val="0"/>
          <w:sz w:val="26"/>
          <w:szCs w:val="26"/>
        </w:rPr>
        <w:t>填报日期：</w:t>
      </w:r>
      <w:r>
        <w:rPr>
          <w:rFonts w:hint="eastAsia" w:ascii="楷体_GB2312" w:hAnsi="仿宋" w:eastAsia="楷体_GB2312" w:cs="楷体_GB2312"/>
          <w:kern w:val="0"/>
          <w:sz w:val="26"/>
          <w:szCs w:val="26"/>
          <w:lang w:val="en-US" w:eastAsia="zh-CN"/>
        </w:rPr>
        <w:t>2024年4月19日</w:t>
      </w:r>
    </w:p>
    <w:tbl>
      <w:tblPr>
        <w:tblStyle w:val="2"/>
        <w:tblW w:w="9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979"/>
        <w:gridCol w:w="1646"/>
        <w:gridCol w:w="1617"/>
        <w:gridCol w:w="573"/>
        <w:gridCol w:w="1245"/>
        <w:gridCol w:w="1200"/>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单位名称</w:t>
            </w:r>
          </w:p>
        </w:tc>
        <w:tc>
          <w:tcPr>
            <w:tcW w:w="7506" w:type="dxa"/>
            <w:gridSpan w:val="6"/>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鄂州市公安局临空经济区分局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基本支出总额</w:t>
            </w:r>
          </w:p>
        </w:tc>
        <w:tc>
          <w:tcPr>
            <w:tcW w:w="3263" w:type="dxa"/>
            <w:gridSpan w:val="2"/>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2282.58</w:t>
            </w:r>
          </w:p>
        </w:tc>
        <w:tc>
          <w:tcPr>
            <w:tcW w:w="1818"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项目支出总额</w:t>
            </w:r>
          </w:p>
        </w:tc>
        <w:tc>
          <w:tcPr>
            <w:tcW w:w="2425" w:type="dxa"/>
            <w:gridSpan w:val="2"/>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5598.79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629"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年度目标</w:t>
            </w:r>
          </w:p>
        </w:tc>
        <w:tc>
          <w:tcPr>
            <w:tcW w:w="7506" w:type="dxa"/>
            <w:gridSpan w:val="6"/>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Times New Roman"/>
                <w:kern w:val="0"/>
                <w:lang w:val="en-US" w:eastAsia="zh-CN"/>
              </w:rPr>
              <w:t>实现公安队伍有效运转，高效办公。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lang w:eastAsia="zh-CN"/>
              </w:rPr>
              <w:t>年度</w:t>
            </w:r>
            <w:r>
              <w:rPr>
                <w:rFonts w:hint="eastAsia" w:ascii="仿宋_GB2312" w:hAnsi="宋体" w:eastAsia="仿宋_GB2312" w:cs="仿宋_GB2312"/>
                <w:color w:val="auto"/>
                <w:kern w:val="0"/>
                <w:highlight w:val="none"/>
              </w:rPr>
              <w:t>绩效指标</w:t>
            </w:r>
          </w:p>
        </w:tc>
        <w:tc>
          <w:tcPr>
            <w:tcW w:w="979"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指标分类</w:t>
            </w:r>
          </w:p>
        </w:tc>
        <w:tc>
          <w:tcPr>
            <w:tcW w:w="1200" w:type="dxa"/>
            <w:tcMar>
              <w:left w:w="57" w:type="dxa"/>
              <w:right w:w="57" w:type="dxa"/>
            </w:tcMar>
            <w:vAlign w:val="center"/>
          </w:tcPr>
          <w:p>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年初目标值（</w:t>
            </w:r>
            <w:r>
              <w:rPr>
                <w:rFonts w:ascii="仿宋_GB2312" w:hAnsi="宋体" w:eastAsia="仿宋_GB2312" w:cs="仿宋_GB2312"/>
                <w:kern w:val="0"/>
              </w:rPr>
              <w:t>A</w:t>
            </w:r>
            <w:r>
              <w:rPr>
                <w:rFonts w:hint="eastAsia" w:ascii="仿宋_GB2312" w:hAnsi="宋体" w:eastAsia="仿宋_GB2312" w:cs="仿宋_GB2312"/>
                <w:kern w:val="0"/>
              </w:rPr>
              <w:t>）</w:t>
            </w:r>
          </w:p>
        </w:tc>
        <w:tc>
          <w:tcPr>
            <w:tcW w:w="1225" w:type="dxa"/>
            <w:tcMar>
              <w:left w:w="57" w:type="dxa"/>
              <w:right w:w="57" w:type="dxa"/>
            </w:tcMar>
            <w:vAlign w:val="center"/>
          </w:tcPr>
          <w:p>
            <w:pPr>
              <w:widowControl/>
              <w:snapToGrid w:val="0"/>
              <w:jc w:val="center"/>
              <w:rPr>
                <w:rFonts w:ascii="仿宋_GB2312" w:hAnsi="宋体" w:eastAsia="仿宋_GB2312" w:cs="仿宋_GB2312"/>
                <w:kern w:val="0"/>
                <w:sz w:val="21"/>
                <w:szCs w:val="24"/>
                <w:lang w:val="en-US" w:eastAsia="zh-CN" w:bidi="ar-SA"/>
              </w:rPr>
            </w:pPr>
            <w:r>
              <w:rPr>
                <w:rFonts w:hint="eastAsia" w:ascii="仿宋_GB2312" w:hAnsi="宋体" w:eastAsia="仿宋_GB2312" w:cs="仿宋_GB2312"/>
                <w:kern w:val="0"/>
              </w:rPr>
              <w:t>实际完成值（</w:t>
            </w:r>
            <w:r>
              <w:rPr>
                <w:rFonts w:ascii="仿宋_GB2312" w:hAnsi="宋体" w:eastAsia="仿宋_GB2312" w:cs="仿宋_GB2312"/>
                <w:kern w:val="0"/>
              </w:rPr>
              <w:t>B</w:t>
            </w:r>
            <w:r>
              <w:rPr>
                <w:rFonts w:hint="eastAsia" w:ascii="仿宋_GB2312" w:hAnsi="宋体" w:eastAsia="仿宋_GB2312" w:cs="仿宋_GB2312"/>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2190"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“三公经费”</w:t>
            </w:r>
            <w:r>
              <w:rPr>
                <w:rFonts w:hint="eastAsia" w:ascii="仿宋_GB2312" w:hAnsi="宋体" w:eastAsia="仿宋_GB2312" w:cs="仿宋_GB2312"/>
                <w:color w:val="auto"/>
                <w:kern w:val="0"/>
                <w:highlight w:val="none"/>
                <w:lang w:val="en-US" w:eastAsia="zh-CN"/>
              </w:rPr>
              <w:t>减少</w:t>
            </w:r>
            <w:r>
              <w:rPr>
                <w:rFonts w:hint="eastAsia" w:ascii="仿宋_GB2312" w:hAnsi="宋体" w:eastAsia="仿宋_GB2312" w:cs="仿宋_GB2312"/>
                <w:color w:val="auto"/>
                <w:kern w:val="0"/>
                <w:highlight w:val="none"/>
              </w:rPr>
              <w:t>率</w:t>
            </w:r>
          </w:p>
        </w:tc>
        <w:tc>
          <w:tcPr>
            <w:tcW w:w="1245"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小于等于60%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646"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基本相符</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245"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245" w:type="dxa"/>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相对科学</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相对科学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245" w:type="dxa"/>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合理</w:t>
            </w:r>
          </w:p>
        </w:tc>
        <w:tc>
          <w:tcPr>
            <w:tcW w:w="1225" w:type="dxa"/>
            <w:tcMar>
              <w:left w:w="57" w:type="dxa"/>
              <w:right w:w="57" w:type="dxa"/>
            </w:tcMar>
            <w:vAlign w:val="center"/>
          </w:tcPr>
          <w:p>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较合理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规范</w:t>
            </w:r>
          </w:p>
        </w:tc>
        <w:tc>
          <w:tcPr>
            <w:tcW w:w="1225" w:type="dxa"/>
            <w:tcMar>
              <w:left w:w="57" w:type="dxa"/>
              <w:right w:w="57" w:type="dxa"/>
            </w:tcMar>
            <w:vAlign w:val="center"/>
          </w:tcPr>
          <w:p>
            <w:pPr>
              <w:widowControl/>
              <w:snapToGrid w:val="0"/>
              <w:jc w:val="center"/>
              <w:rPr>
                <w:rFonts w:hint="eastAsia"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小于等于8%</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预算调减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大于等于70%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小于等于10%</w:t>
            </w:r>
          </w:p>
        </w:tc>
        <w:tc>
          <w:tcPr>
            <w:tcW w:w="122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大于等于50%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合理</w:t>
            </w:r>
          </w:p>
        </w:tc>
        <w:tc>
          <w:tcPr>
            <w:tcW w:w="1225"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大于等于90%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基本规范</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基本合规</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敏感涉密控制率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核心业务产出2</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重大恶性案件控制率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hint="default"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3</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重大涉警舆情炒作案件控制率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rPr>
              <w:t>核心业务产出</w:t>
            </w:r>
            <w:r>
              <w:rPr>
                <w:rFonts w:hint="eastAsia" w:ascii="仿宋_GB2312" w:hAnsi="宋体" w:eastAsia="仿宋_GB2312" w:cs="仿宋_GB2312"/>
                <w:color w:val="auto"/>
                <w:kern w:val="0"/>
                <w:highlight w:val="none"/>
                <w:lang w:val="en-US" w:eastAsia="zh-CN"/>
              </w:rPr>
              <w:t>4</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重大公共安全事故控制率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c>
          <w:tcPr>
            <w:tcW w:w="1225" w:type="dxa"/>
            <w:tcMar>
              <w:left w:w="57" w:type="dxa"/>
              <w:right w:w="57" w:type="dxa"/>
            </w:tcMar>
            <w:vAlign w:val="center"/>
          </w:tcPr>
          <w:p>
            <w:pPr>
              <w:widowControl/>
              <w:snapToGrid w:val="0"/>
              <w:jc w:val="center"/>
              <w:rPr>
                <w:rFonts w:ascii="仿宋_GB2312" w:hAnsi="宋体" w:eastAsia="仿宋_GB2312" w:cstheme="minorBidi"/>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保护人民生命财产安全，维护社会安定稳定</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效果明显</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效果明显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646"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基本取得成效</w:t>
            </w:r>
          </w:p>
        </w:tc>
        <w:tc>
          <w:tcPr>
            <w:tcW w:w="1225" w:type="dxa"/>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基本取得成效</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val="en-US" w:eastAsia="zh-CN"/>
              </w:rPr>
              <w:t>基本取得成效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rPr>
            </w:pPr>
            <w:r>
              <w:rPr>
                <w:rFonts w:hint="eastAsia" w:ascii="仿宋_GB2312" w:hAnsi="宋体" w:eastAsia="仿宋_GB2312" w:cs="仿宋_GB2312"/>
                <w:color w:val="auto"/>
                <w:kern w:val="0"/>
                <w:highlight w:val="none"/>
                <w:lang w:val="en-US" w:eastAsia="zh-CN"/>
              </w:rPr>
              <w:t>基本取得规划</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基本取得规划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大于等于10%</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2190"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基本完成</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基本完成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群众满意度</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50"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979"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46"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2190"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民警满意度</w:t>
            </w:r>
          </w:p>
        </w:tc>
        <w:tc>
          <w:tcPr>
            <w:tcW w:w="1245" w:type="dxa"/>
            <w:tcMar>
              <w:left w:w="57" w:type="dxa"/>
              <w:right w:w="57" w:type="dxa"/>
            </w:tcMar>
            <w:vAlign w:val="center"/>
          </w:tcPr>
          <w:p>
            <w:pPr>
              <w:widowControl/>
              <w:snapToGrid w:val="0"/>
              <w:jc w:val="center"/>
              <w:rPr>
                <w:rFonts w:hint="default" w:ascii="仿宋_GB2312" w:hAnsi="宋体" w:eastAsia="仿宋_GB2312" w:cstheme="minorBidi"/>
                <w:color w:val="FF0000"/>
                <w:kern w:val="0"/>
                <w:sz w:val="21"/>
                <w:szCs w:val="22"/>
                <w:highlight w:val="none"/>
                <w:lang w:val="en-US" w:eastAsia="zh-CN" w:bidi="ar-SA"/>
              </w:rPr>
            </w:pPr>
            <w:r>
              <w:rPr>
                <w:rFonts w:hint="eastAsia" w:ascii="仿宋_GB2312" w:hAnsi="宋体" w:eastAsia="仿宋_GB2312"/>
                <w:color w:val="auto"/>
                <w:kern w:val="0"/>
                <w:highlight w:val="none"/>
                <w:lang w:val="en-US" w:eastAsia="zh-CN"/>
              </w:rPr>
              <w:t>绩效基本型</w:t>
            </w:r>
          </w:p>
        </w:tc>
        <w:tc>
          <w:tcPr>
            <w:tcW w:w="1200"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val="en-US" w:eastAsia="zh-CN"/>
              </w:rPr>
              <w:t>大于等于95%</w:t>
            </w:r>
          </w:p>
        </w:tc>
        <w:tc>
          <w:tcPr>
            <w:tcW w:w="1225"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629" w:type="dxa"/>
            <w:gridSpan w:val="2"/>
            <w:tcMar>
              <w:left w:w="57" w:type="dxa"/>
              <w:right w:w="57" w:type="dxa"/>
            </w:tcMar>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偏差大或</w:t>
            </w:r>
          </w:p>
          <w:p>
            <w:pPr>
              <w:widowControl/>
              <w:jc w:val="center"/>
              <w:rPr>
                <w:rFonts w:ascii="仿宋_GB2312" w:hAnsi="宋体" w:eastAsia="仿宋_GB2312" w:cs="Times New Roman"/>
                <w:kern w:val="0"/>
              </w:rPr>
            </w:pPr>
            <w:r>
              <w:rPr>
                <w:rFonts w:hint="eastAsia" w:ascii="仿宋_GB2312" w:hAnsi="宋体" w:eastAsia="仿宋_GB2312" w:cs="仿宋_GB2312"/>
                <w:kern w:val="0"/>
              </w:rPr>
              <w:t>目标未完成</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原因分析</w:t>
            </w:r>
          </w:p>
        </w:tc>
        <w:tc>
          <w:tcPr>
            <w:tcW w:w="7506" w:type="dxa"/>
            <w:gridSpan w:val="6"/>
            <w:tcMar>
              <w:left w:w="57" w:type="dxa"/>
              <w:right w:w="57" w:type="dxa"/>
            </w:tcMar>
            <w:vAlign w:val="center"/>
          </w:tcPr>
          <w:p>
            <w:pPr>
              <w:widowControl/>
              <w:jc w:val="left"/>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设备购置费预算偏高，且预算时未勾选政府采购选项，资金未从设备购置费支出，设备购置费预算执行率较低。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629" w:type="dxa"/>
            <w:gridSpan w:val="2"/>
            <w:tcMar>
              <w:left w:w="57" w:type="dxa"/>
              <w:right w:w="57" w:type="dxa"/>
            </w:tcMar>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改进措施及</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kern w:val="0"/>
              </w:rPr>
              <w:t>结果应用方案</w:t>
            </w:r>
          </w:p>
        </w:tc>
        <w:tc>
          <w:tcPr>
            <w:tcW w:w="7506" w:type="dxa"/>
            <w:gridSpan w:val="6"/>
            <w:tcMar>
              <w:left w:w="57" w:type="dxa"/>
              <w:right w:w="57" w:type="dxa"/>
            </w:tcMar>
            <w:vAlign w:val="center"/>
          </w:tcPr>
          <w:p>
            <w:pPr>
              <w:widowControl/>
              <w:jc w:val="left"/>
              <w:rPr>
                <w:rFonts w:hint="default" w:ascii="仿宋_GB2312" w:hAnsi="宋体" w:eastAsia="仿宋_GB2312" w:cs="Times New Roman"/>
                <w:kern w:val="0"/>
                <w:sz w:val="21"/>
                <w:szCs w:val="22"/>
                <w:lang w:val="en-US" w:eastAsia="zh-CN" w:bidi="ar-SA"/>
              </w:rPr>
            </w:pPr>
            <w:r>
              <w:rPr>
                <w:rFonts w:hint="eastAsia" w:ascii="仿宋_GB2312" w:hAnsi="宋体" w:eastAsia="仿宋_GB2312" w:cs="Times New Roman"/>
                <w:kern w:val="0"/>
                <w:lang w:val="en-US" w:eastAsia="zh-CN"/>
              </w:rPr>
              <w:t>加强预算编制管理，提高执行率。</w:t>
            </w:r>
          </w:p>
        </w:tc>
      </w:tr>
    </w:tbl>
    <w:p>
      <w:pPr>
        <w:widowControl/>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备注：</w:t>
      </w:r>
    </w:p>
    <w:p>
      <w:pPr>
        <w:widowControl/>
        <w:ind w:firstLine="400" w:firstLineChars="200"/>
        <w:rPr>
          <w:rFonts w:hint="eastAsia" w:ascii="仿宋_GB2312" w:hAnsi="宋体" w:eastAsia="仿宋_GB2312" w:cs="Times New Roman"/>
          <w:kern w:val="0"/>
          <w:sz w:val="20"/>
          <w:szCs w:val="20"/>
          <w:lang w:eastAsia="zh-CN"/>
        </w:rPr>
      </w:pPr>
      <w:r>
        <w:rPr>
          <w:rFonts w:ascii="仿宋_GB2312" w:hAnsi="宋体" w:eastAsia="仿宋_GB2312" w:cs="仿宋_GB2312"/>
          <w:kern w:val="0"/>
          <w:sz w:val="20"/>
          <w:szCs w:val="20"/>
        </w:rPr>
        <w:t>1.</w:t>
      </w:r>
      <w:r>
        <w:rPr>
          <w:rFonts w:hint="eastAsia" w:ascii="仿宋_GB2312" w:hAnsi="宋体" w:eastAsia="仿宋_GB2312" w:cs="仿宋_GB2312"/>
          <w:kern w:val="0"/>
          <w:sz w:val="20"/>
          <w:szCs w:val="20"/>
          <w:lang w:eastAsia="zh-CN"/>
        </w:rPr>
        <w:t>基本支出总额和项目支出总额为财政资金实际支出数。</w:t>
      </w:r>
    </w:p>
    <w:p>
      <w:pPr>
        <w:widowControl/>
        <w:ind w:firstLine="400" w:firstLineChars="200"/>
        <w:rPr>
          <w:rFonts w:ascii="仿宋_GB2312" w:hAnsi="宋体" w:eastAsia="仿宋_GB2312" w:cs="仿宋_GB2312"/>
          <w:kern w:val="0"/>
          <w:sz w:val="20"/>
          <w:szCs w:val="20"/>
        </w:rPr>
      </w:pPr>
      <w:r>
        <w:rPr>
          <w:rFonts w:hint="eastAsia" w:ascii="仿宋_GB2312" w:hAnsi="宋体" w:eastAsia="仿宋_GB2312" w:cs="仿宋_GB2312"/>
          <w:kern w:val="0"/>
          <w:sz w:val="20"/>
          <w:szCs w:val="20"/>
          <w:lang w:val="en-US" w:eastAsia="zh-CN"/>
        </w:rPr>
        <w:t>2</w:t>
      </w:r>
      <w:r>
        <w:rPr>
          <w:rFonts w:ascii="仿宋_GB2312" w:hAnsi="宋体" w:eastAsia="仿宋_GB2312" w:cs="仿宋_GB2312"/>
          <w:kern w:val="0"/>
          <w:sz w:val="20"/>
          <w:szCs w:val="20"/>
        </w:rPr>
        <w:t>.</w:t>
      </w:r>
      <w:r>
        <w:rPr>
          <w:rFonts w:hint="eastAsia" w:ascii="仿宋_GB2312" w:hAnsi="宋体" w:eastAsia="仿宋_GB2312" w:cs="仿宋_GB2312"/>
          <w:kern w:val="0"/>
          <w:sz w:val="20"/>
          <w:szCs w:val="20"/>
        </w:rPr>
        <w:t>基于经济性和必要性等因素考虑，满意度指标暂可不作为必评指标。</w:t>
      </w: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附件3-2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年度鄂州市公安局临空经济区分局</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部门整体绩效自评结果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Times New Roman"/>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基本情况</w:t>
      </w:r>
    </w:p>
    <w:p>
      <w:pPr>
        <w:ind w:firstLine="640" w:firstLineChars="200"/>
        <w:rPr>
          <w:rFonts w:hint="eastAsia" w:ascii="仿宋" w:hAnsi="仿宋" w:eastAsia="仿宋" w:cs="仿宋"/>
          <w:sz w:val="32"/>
          <w:szCs w:val="32"/>
        </w:rPr>
      </w:pPr>
      <w:r>
        <w:rPr>
          <w:rFonts w:hint="eastAsia" w:ascii="仿宋_GB2312" w:hAnsi="仿宋" w:eastAsia="仿宋_GB2312" w:cs="仿宋_GB2312"/>
          <w:sz w:val="32"/>
          <w:szCs w:val="32"/>
          <w:lang w:val="en-US" w:eastAsia="zh-CN"/>
        </w:rPr>
        <w:t>1.</w:t>
      </w: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年度鄂州市</w:t>
      </w:r>
      <w:r>
        <w:rPr>
          <w:rFonts w:hint="eastAsia" w:ascii="仿宋" w:hAnsi="仿宋" w:eastAsia="仿宋" w:cs="仿宋"/>
          <w:sz w:val="32"/>
          <w:szCs w:val="32"/>
          <w:lang w:val="en-US" w:eastAsia="zh-CN"/>
        </w:rPr>
        <w:t>公安局临空经济区分局</w:t>
      </w:r>
      <w:r>
        <w:rPr>
          <w:rFonts w:hint="eastAsia" w:ascii="仿宋" w:hAnsi="仿宋" w:eastAsia="仿宋" w:cs="仿宋"/>
          <w:sz w:val="32"/>
          <w:szCs w:val="32"/>
        </w:rPr>
        <w:t>部门整体支出总</w:t>
      </w:r>
      <w:r>
        <w:rPr>
          <w:rFonts w:hint="eastAsia" w:ascii="仿宋" w:hAnsi="仿宋" w:eastAsia="仿宋" w:cs="仿宋"/>
          <w:sz w:val="32"/>
          <w:szCs w:val="32"/>
          <w:lang w:eastAsia="zh-CN"/>
        </w:rPr>
        <w:t>额</w:t>
      </w:r>
      <w:r>
        <w:rPr>
          <w:rFonts w:hint="eastAsia" w:ascii="仿宋" w:hAnsi="仿宋" w:eastAsia="仿宋" w:cs="仿宋"/>
          <w:sz w:val="32"/>
          <w:szCs w:val="32"/>
          <w:lang w:val="en-US" w:eastAsia="zh-CN"/>
        </w:rPr>
        <w:t>7881.37</w:t>
      </w:r>
      <w:r>
        <w:rPr>
          <w:rFonts w:hint="eastAsia" w:ascii="仿宋" w:hAnsi="仿宋" w:eastAsia="仿宋" w:cs="仿宋"/>
          <w:sz w:val="32"/>
          <w:szCs w:val="32"/>
        </w:rPr>
        <w:t>万元，执行数</w:t>
      </w:r>
      <w:r>
        <w:rPr>
          <w:rFonts w:hint="eastAsia" w:ascii="仿宋" w:hAnsi="仿宋" w:eastAsia="仿宋" w:cs="仿宋"/>
          <w:sz w:val="32"/>
          <w:szCs w:val="32"/>
          <w:lang w:val="en-US" w:eastAsia="zh-CN"/>
        </w:rPr>
        <w:t>4073.59</w:t>
      </w:r>
      <w:r>
        <w:rPr>
          <w:rFonts w:hint="eastAsia" w:ascii="仿宋" w:hAnsi="仿宋" w:eastAsia="仿宋" w:cs="仿宋"/>
          <w:sz w:val="32"/>
          <w:szCs w:val="32"/>
        </w:rPr>
        <w:t>万元，执行率</w:t>
      </w:r>
      <w:r>
        <w:rPr>
          <w:rFonts w:hint="eastAsia" w:ascii="仿宋" w:hAnsi="仿宋" w:eastAsia="仿宋" w:cs="仿宋"/>
          <w:sz w:val="32"/>
          <w:szCs w:val="32"/>
          <w:lang w:val="en-US" w:eastAsia="zh-CN"/>
        </w:rPr>
        <w:t>52</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cs="仿宋_GB2312"/>
          <w:sz w:val="32"/>
          <w:szCs w:val="32"/>
          <w:lang w:val="en-US" w:eastAsia="zh-CN"/>
        </w:rPr>
        <w:t>2023</w:t>
      </w:r>
      <w:r>
        <w:rPr>
          <w:rFonts w:hint="eastAsia" w:ascii="仿宋_GB2312" w:hAnsi="仿宋" w:eastAsia="仿宋_GB2312" w:cs="仿宋_GB2312"/>
          <w:sz w:val="32"/>
          <w:szCs w:val="32"/>
        </w:rPr>
        <w:t>年度工作任务</w:t>
      </w:r>
      <w:r>
        <w:rPr>
          <w:rFonts w:hint="eastAsia" w:ascii="仿宋_GB2312" w:hAnsi="仿宋" w:eastAsia="仿宋_GB2312" w:cs="仿宋_GB2312"/>
          <w:sz w:val="32"/>
          <w:szCs w:val="32"/>
          <w:lang w:val="en-US" w:eastAsia="zh-CN"/>
        </w:rPr>
        <w:t>为第一</w:t>
      </w:r>
      <w:r>
        <w:rPr>
          <w:rFonts w:hint="eastAsia" w:ascii="仿宋_GB2312" w:hAnsi="仿宋" w:eastAsia="仿宋_GB2312" w:cs="仿宋_GB2312"/>
          <w:sz w:val="32"/>
          <w:szCs w:val="32"/>
        </w:rPr>
        <w:t>增强安全感：守底线、防风险、控警情、强破案、抓防控、强装备、保安全</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第二</w:t>
      </w:r>
      <w:r>
        <w:rPr>
          <w:rFonts w:hint="eastAsia" w:ascii="仿宋_GB2312" w:hAnsi="仿宋" w:eastAsia="仿宋_GB2312" w:cs="仿宋_GB2312"/>
          <w:sz w:val="32"/>
          <w:szCs w:val="32"/>
        </w:rPr>
        <w:t>提高服务质量：执法质量、投诉类测评、服务对象测评、局直单位评价、市局领导评价等的服务对象满意度</w:t>
      </w:r>
      <w:r>
        <w:rPr>
          <w:rFonts w:hint="eastAsia" w:ascii="仿宋_GB2312" w:hAnsi="仿宋"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lang w:val="en-US" w:eastAsia="zh-CN"/>
        </w:rPr>
        <w:t>2023</w:t>
      </w:r>
      <w:r>
        <w:rPr>
          <w:rFonts w:hint="eastAsia" w:ascii="仿宋_GB2312" w:hAnsi="仿宋" w:eastAsia="仿宋_GB2312" w:cs="仿宋_GB2312"/>
          <w:sz w:val="32"/>
          <w:szCs w:val="32"/>
        </w:rPr>
        <w:t>年度部门整体绩效目标。目标1：加强各类刑事案件侦破力度，提高办事效率及质量。加强社会治安管控，社会治安状态趋好</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目标2：做好防恐维稳工作，不发生全国、全省有重大影响的政治案（事）件、暴力恐怖案件、重大网络舆情事件、全国有重大影响的大规模群体性事件、缠访闹访重点人漏管失控人数。目标3：提高安全服务质量，维护社会平安。不发生重大涉警舆情炒作，提高辖区群众安全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部门自评工作开展情况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lang w:eastAsia="zh-CN"/>
        </w:rPr>
      </w:pPr>
      <w:r>
        <w:rPr>
          <w:rFonts w:hint="eastAsia" w:ascii="仿宋_GB2312" w:hAnsi="仿宋" w:eastAsia="仿宋_GB2312" w:cs="仿宋_GB2312"/>
          <w:sz w:val="32"/>
          <w:szCs w:val="32"/>
          <w:lang w:val="en-US" w:eastAsia="zh-CN"/>
        </w:rPr>
        <w:t>2023年</w:t>
      </w:r>
      <w:r>
        <w:rPr>
          <w:rFonts w:hint="eastAsia" w:ascii="仿宋_GB2312" w:hAnsi="仿宋" w:eastAsia="仿宋_GB2312" w:cs="仿宋_GB2312"/>
          <w:sz w:val="32"/>
          <w:szCs w:val="32"/>
          <w:lang w:eastAsia="zh-CN"/>
        </w:rPr>
        <w:t>我</w:t>
      </w:r>
      <w:r>
        <w:rPr>
          <w:rFonts w:hint="eastAsia" w:ascii="仿宋" w:hAnsi="仿宋" w:eastAsia="仿宋" w:cs="仿宋"/>
          <w:sz w:val="32"/>
          <w:szCs w:val="32"/>
        </w:rPr>
        <w:t>单位项目开展数量</w:t>
      </w:r>
      <w:r>
        <w:rPr>
          <w:rFonts w:hint="eastAsia" w:ascii="仿宋" w:hAnsi="仿宋" w:eastAsia="仿宋" w:cs="仿宋"/>
          <w:sz w:val="32"/>
          <w:szCs w:val="32"/>
          <w:lang w:val="en-US" w:eastAsia="zh-CN"/>
        </w:rPr>
        <w:t>4</w:t>
      </w:r>
      <w:r>
        <w:rPr>
          <w:rFonts w:hint="eastAsia" w:ascii="仿宋" w:hAnsi="仿宋" w:eastAsia="仿宋" w:cs="仿宋"/>
          <w:sz w:val="32"/>
          <w:szCs w:val="32"/>
        </w:rPr>
        <w:t>个</w:t>
      </w:r>
      <w:r>
        <w:rPr>
          <w:rFonts w:hint="eastAsia" w:ascii="仿宋" w:hAnsi="仿宋" w:eastAsia="仿宋" w:cs="仿宋"/>
          <w:sz w:val="32"/>
          <w:szCs w:val="32"/>
          <w:lang w:eastAsia="zh-CN"/>
        </w:rPr>
        <w:t>；</w:t>
      </w:r>
      <w:r>
        <w:rPr>
          <w:rFonts w:hint="eastAsia" w:ascii="仿宋" w:hAnsi="仿宋" w:eastAsia="仿宋" w:cs="仿宋"/>
          <w:sz w:val="32"/>
          <w:szCs w:val="32"/>
        </w:rPr>
        <w:t>单位项目资金保障率100%</w:t>
      </w:r>
      <w:r>
        <w:rPr>
          <w:rFonts w:hint="eastAsia" w:ascii="仿宋" w:hAnsi="仿宋" w:eastAsia="仿宋" w:cs="仿宋"/>
          <w:sz w:val="32"/>
          <w:szCs w:val="32"/>
          <w:lang w:eastAsia="zh-CN"/>
        </w:rPr>
        <w:t>；</w:t>
      </w:r>
      <w:r>
        <w:rPr>
          <w:rFonts w:hint="eastAsia" w:ascii="仿宋" w:hAnsi="仿宋" w:eastAsia="仿宋" w:cs="仿宋"/>
          <w:sz w:val="32"/>
          <w:szCs w:val="32"/>
        </w:rPr>
        <w:t>项目</w:t>
      </w:r>
      <w:r>
        <w:rPr>
          <w:rFonts w:hint="eastAsia" w:ascii="仿宋" w:hAnsi="仿宋" w:eastAsia="仿宋" w:cs="仿宋"/>
          <w:sz w:val="32"/>
          <w:szCs w:val="32"/>
          <w:lang w:val="en-US" w:eastAsia="zh-CN"/>
        </w:rPr>
        <w:t>成本控制率95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项目预计完成时间202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eastAsia="zh-CN"/>
        </w:rPr>
        <w:t>（</w:t>
      </w:r>
      <w:r>
        <w:rPr>
          <w:rFonts w:hint="eastAsia" w:ascii="仿宋" w:hAnsi="仿宋" w:eastAsia="仿宋" w:cs="仿宋"/>
          <w:sz w:val="32"/>
          <w:szCs w:val="32"/>
        </w:rPr>
        <w:t>12个月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2023年底财务部门牵头组织法制、办案大队等相关部门积极开展绩效自评工作，对各二级三级绩效目标进行评价。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部门整体绩效目标完成情况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eastAsia="仿宋_GB2312" w:cs="仿宋_GB2312"/>
          <w:sz w:val="32"/>
          <w:szCs w:val="32"/>
        </w:rPr>
        <w:t>1</w:t>
      </w:r>
      <w:r>
        <w:rPr>
          <w:rFonts w:hint="eastAsia" w:ascii="仿宋_GB2312" w:hAnsi="仿宋" w:eastAsia="仿宋_GB2312" w:cs="仿宋_GB2312"/>
          <w:sz w:val="32"/>
          <w:szCs w:val="32"/>
        </w:rPr>
        <w:t>运行成本指标完成情况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公用经费控制率</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在职人员控制率、</w:t>
      </w:r>
      <w:r>
        <w:rPr>
          <w:rFonts w:hint="eastAsia" w:ascii="仿宋_GB2312" w:hAnsi="仿宋" w:eastAsia="仿宋_GB2312" w:cs="仿宋_GB2312"/>
          <w:sz w:val="32"/>
          <w:szCs w:val="32"/>
        </w:rPr>
        <w:t>项目支出成本控制</w:t>
      </w:r>
      <w:r>
        <w:rPr>
          <w:rFonts w:hint="eastAsia" w:ascii="仿宋_GB2312" w:hAnsi="仿宋" w:eastAsia="仿宋_GB2312" w:cs="仿宋_GB2312"/>
          <w:sz w:val="32"/>
          <w:szCs w:val="32"/>
          <w:lang w:val="en-US" w:eastAsia="zh-CN"/>
        </w:rPr>
        <w:t>都达成目标</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2.管理效率指标完成情况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战略管理目标基本达成，</w:t>
      </w:r>
      <w:r>
        <w:rPr>
          <w:rFonts w:hint="eastAsia" w:ascii="仿宋_GB2312" w:hAnsi="仿宋" w:eastAsia="仿宋_GB2312" w:cs="仿宋_GB2312"/>
          <w:sz w:val="32"/>
          <w:szCs w:val="32"/>
        </w:rPr>
        <w:t>预算编制</w:t>
      </w:r>
      <w:r>
        <w:rPr>
          <w:rFonts w:hint="eastAsia" w:ascii="仿宋_GB2312" w:hAnsi="仿宋" w:eastAsia="仿宋_GB2312" w:cs="仿宋_GB2312"/>
          <w:sz w:val="32"/>
          <w:szCs w:val="32"/>
          <w:lang w:val="en-US" w:eastAsia="zh-CN"/>
        </w:rPr>
        <w:t>较合理规范</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预算执行率较低，绩效管理已完成，资产管理和财务管理制度基本健全合理规范</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3.履职效能指标完成情况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敏感涉密案件及各类重大案件控制率完成100%</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4.社会效应指标完成情况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保护人民生命财产安全，维护社会安定稳定，效果明显</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cs="仿宋_GB2312"/>
          <w:sz w:val="32"/>
          <w:szCs w:val="32"/>
        </w:rPr>
      </w:pPr>
      <w:r>
        <w:rPr>
          <w:rFonts w:hint="eastAsia" w:ascii="仿宋_GB2312" w:hAnsi="仿宋" w:eastAsia="仿宋_GB2312" w:cs="仿宋_GB2312"/>
          <w:sz w:val="32"/>
          <w:szCs w:val="32"/>
        </w:rPr>
        <w:t>5.可持续发展能力指标完成情况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服务体制改革</w:t>
      </w:r>
      <w:r>
        <w:rPr>
          <w:rFonts w:hint="eastAsia" w:ascii="仿宋_GB2312" w:hAnsi="仿宋" w:eastAsia="仿宋_GB2312" w:cs="仿宋_GB2312"/>
          <w:sz w:val="32"/>
          <w:szCs w:val="32"/>
          <w:lang w:val="en-US" w:eastAsia="zh-CN"/>
        </w:rPr>
        <w:t>基本取得</w:t>
      </w:r>
      <w:r>
        <w:rPr>
          <w:rFonts w:hint="eastAsia" w:ascii="仿宋_GB2312" w:hAnsi="仿宋" w:eastAsia="仿宋_GB2312" w:cs="仿宋_GB2312"/>
          <w:sz w:val="32"/>
          <w:szCs w:val="32"/>
        </w:rPr>
        <w:t>成效</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行政管理体制改革</w:t>
      </w:r>
      <w:r>
        <w:rPr>
          <w:rFonts w:hint="eastAsia" w:ascii="仿宋_GB2312" w:hAnsi="仿宋" w:eastAsia="仿宋_GB2312" w:cs="仿宋_GB2312"/>
          <w:sz w:val="32"/>
          <w:szCs w:val="32"/>
          <w:lang w:val="en-US" w:eastAsia="zh-CN"/>
        </w:rPr>
        <w:t>基本取得</w:t>
      </w:r>
      <w:r>
        <w:rPr>
          <w:rFonts w:hint="eastAsia" w:ascii="仿宋_GB2312" w:hAnsi="仿宋" w:eastAsia="仿宋_GB2312" w:cs="仿宋_GB2312"/>
          <w:sz w:val="32"/>
          <w:szCs w:val="32"/>
        </w:rPr>
        <w:t>成效</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业务学习与培训完成率</w:t>
      </w:r>
      <w:r>
        <w:rPr>
          <w:rFonts w:hint="eastAsia" w:ascii="仿宋_GB2312" w:hAnsi="仿宋" w:eastAsia="仿宋_GB2312" w:cs="仿宋_GB2312"/>
          <w:sz w:val="32"/>
          <w:szCs w:val="32"/>
          <w:lang w:val="en-US" w:eastAsia="zh-CN"/>
        </w:rPr>
        <w:t>等于95%</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干部队伍体系建设</w:t>
      </w:r>
      <w:r>
        <w:rPr>
          <w:rFonts w:hint="eastAsia" w:ascii="仿宋_GB2312" w:hAnsi="仿宋" w:eastAsia="仿宋_GB2312" w:cs="仿宋_GB2312"/>
          <w:sz w:val="32"/>
          <w:szCs w:val="32"/>
          <w:lang w:val="en-US" w:eastAsia="zh-CN"/>
        </w:rPr>
        <w:t>基本完成</w:t>
      </w:r>
      <w:r>
        <w:rPr>
          <w:rFonts w:hint="eastAsia" w:ascii="仿宋_GB2312" w:hAnsi="仿宋" w:eastAsia="仿宋_GB2312" w:cs="仿宋_GB2312"/>
          <w:sz w:val="32"/>
          <w:szCs w:val="32"/>
        </w:rPr>
        <w:t>规划</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高学历、高层次人才储备率</w:t>
      </w:r>
      <w:r>
        <w:rPr>
          <w:rFonts w:hint="eastAsia" w:ascii="仿宋_GB2312" w:hAnsi="仿宋" w:eastAsia="仿宋_GB2312" w:cs="仿宋_GB2312"/>
          <w:sz w:val="32"/>
          <w:szCs w:val="32"/>
          <w:lang w:val="en-US" w:eastAsia="zh-CN"/>
        </w:rPr>
        <w:t>等于10%</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信息化建设</w:t>
      </w:r>
      <w:r>
        <w:rPr>
          <w:rFonts w:hint="eastAsia" w:ascii="仿宋_GB2312" w:hAnsi="仿宋" w:eastAsia="仿宋_GB2312" w:cs="仿宋_GB2312"/>
          <w:sz w:val="32"/>
          <w:szCs w:val="32"/>
          <w:lang w:val="en-US" w:eastAsia="zh-CN"/>
        </w:rPr>
        <w:t>基本完成</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6.满意度指标完成情况</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群众</w:t>
      </w:r>
      <w:r>
        <w:rPr>
          <w:rFonts w:hint="eastAsia" w:ascii="仿宋_GB2312" w:hAnsi="仿宋" w:eastAsia="仿宋_GB2312" w:cs="仿宋_GB2312"/>
          <w:sz w:val="32"/>
          <w:szCs w:val="32"/>
        </w:rPr>
        <w:t>满意度</w:t>
      </w:r>
      <w:r>
        <w:rPr>
          <w:rFonts w:hint="eastAsia" w:ascii="仿宋" w:hAnsi="仿宋" w:eastAsia="仿宋" w:cs="仿宋"/>
          <w:sz w:val="32"/>
          <w:szCs w:val="32"/>
        </w:rPr>
        <w:t>达</w:t>
      </w:r>
      <w:r>
        <w:rPr>
          <w:rFonts w:hint="eastAsia" w:ascii="仿宋" w:hAnsi="仿宋" w:eastAsia="仿宋" w:cs="仿宋"/>
          <w:sz w:val="32"/>
          <w:szCs w:val="32"/>
          <w:lang w:val="en-US" w:eastAsia="zh-CN"/>
        </w:rPr>
        <w:t>95</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民辅警满意度达96%</w:t>
      </w:r>
      <w:r>
        <w:rPr>
          <w:rFonts w:hint="eastAsia" w:ascii="仿宋_GB2312" w:hAnsi="仿宋"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主要成效、存在的突出问题和原因</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1.预算绩效目标编制仍需提高。在202</w:t>
      </w:r>
      <w:r>
        <w:rPr>
          <w:rFonts w:hint="eastAsia" w:ascii="仿宋" w:hAnsi="仿宋" w:eastAsia="仿宋" w:cs="仿宋"/>
          <w:sz w:val="32"/>
          <w:szCs w:val="32"/>
          <w:lang w:val="en-US" w:eastAsia="zh-CN"/>
        </w:rPr>
        <w:t>3</w:t>
      </w:r>
      <w:r>
        <w:rPr>
          <w:rFonts w:hint="eastAsia" w:ascii="仿宋" w:hAnsi="仿宋" w:eastAsia="仿宋" w:cs="仿宋"/>
          <w:sz w:val="32"/>
          <w:szCs w:val="32"/>
        </w:rPr>
        <w:t>年度预算绩效目标编制工作中，</w:t>
      </w:r>
      <w:r>
        <w:rPr>
          <w:rFonts w:hint="eastAsia" w:ascii="仿宋" w:hAnsi="仿宋" w:eastAsia="仿宋" w:cs="仿宋"/>
          <w:sz w:val="32"/>
          <w:szCs w:val="32"/>
          <w:lang w:val="en-US" w:eastAsia="zh-CN"/>
        </w:rPr>
        <w:t>比上年指标设置有所提高，但</w:t>
      </w:r>
      <w:r>
        <w:rPr>
          <w:rFonts w:hint="eastAsia" w:ascii="仿宋" w:hAnsi="仿宋" w:eastAsia="仿宋" w:cs="仿宋"/>
          <w:sz w:val="32"/>
          <w:szCs w:val="32"/>
        </w:rPr>
        <w:t>有的三级指标设置科学量化度</w:t>
      </w:r>
      <w:r>
        <w:rPr>
          <w:rFonts w:hint="eastAsia" w:ascii="仿宋" w:hAnsi="仿宋" w:eastAsia="仿宋" w:cs="仿宋"/>
          <w:sz w:val="32"/>
          <w:szCs w:val="32"/>
          <w:lang w:val="en-US" w:eastAsia="zh-CN"/>
        </w:rPr>
        <w:t>仍</w:t>
      </w:r>
      <w:r>
        <w:rPr>
          <w:rFonts w:hint="eastAsia" w:ascii="仿宋" w:hAnsi="仿宋" w:eastAsia="仿宋" w:cs="仿宋"/>
          <w:sz w:val="32"/>
          <w:szCs w:val="32"/>
        </w:rPr>
        <w:t>不高，绩效目标编制质量</w:t>
      </w:r>
      <w:r>
        <w:rPr>
          <w:rFonts w:hint="eastAsia" w:ascii="仿宋" w:hAnsi="仿宋" w:eastAsia="仿宋" w:cs="仿宋"/>
          <w:sz w:val="32"/>
          <w:szCs w:val="32"/>
          <w:lang w:val="en-US" w:eastAsia="zh-CN"/>
        </w:rPr>
        <w:t>还</w:t>
      </w:r>
      <w:r>
        <w:rPr>
          <w:rFonts w:hint="eastAsia" w:ascii="仿宋" w:hAnsi="仿宋" w:eastAsia="仿宋" w:cs="仿宋"/>
          <w:sz w:val="32"/>
          <w:szCs w:val="32"/>
        </w:rPr>
        <w:t>需提高。</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2.部门整体绩效评价</w:t>
      </w:r>
      <w:r>
        <w:rPr>
          <w:rFonts w:hint="eastAsia" w:ascii="仿宋" w:hAnsi="仿宋" w:eastAsia="仿宋" w:cs="仿宋"/>
          <w:sz w:val="32"/>
          <w:szCs w:val="32"/>
          <w:highlight w:val="none"/>
        </w:rPr>
        <w:t>目标未完全细化分解为具体工作任务</w:t>
      </w:r>
      <w:r>
        <w:rPr>
          <w:rFonts w:hint="eastAsia" w:ascii="仿宋" w:hAnsi="仿宋" w:eastAsia="仿宋" w:cs="仿宋"/>
          <w:sz w:val="32"/>
          <w:szCs w:val="32"/>
          <w:highlight w:val="none"/>
          <w:lang w:eastAsia="zh-CN"/>
        </w:rPr>
        <w:t>。</w:t>
      </w:r>
      <w:r>
        <w:rPr>
          <w:rFonts w:hint="eastAsia" w:ascii="仿宋" w:hAnsi="仿宋" w:eastAsia="仿宋" w:cs="仿宋"/>
          <w:sz w:val="32"/>
          <w:szCs w:val="32"/>
        </w:rPr>
        <w:t>在预算编制环节各</w:t>
      </w:r>
      <w:r>
        <w:rPr>
          <w:rFonts w:hint="eastAsia" w:ascii="仿宋" w:hAnsi="仿宋" w:eastAsia="仿宋" w:cs="仿宋"/>
          <w:sz w:val="32"/>
          <w:szCs w:val="32"/>
          <w:lang w:val="en-US" w:eastAsia="zh-CN"/>
        </w:rPr>
        <w:t>部门</w:t>
      </w:r>
      <w:r>
        <w:rPr>
          <w:rFonts w:hint="eastAsia" w:ascii="仿宋" w:hAnsi="仿宋" w:eastAsia="仿宋" w:cs="仿宋"/>
          <w:sz w:val="32"/>
          <w:szCs w:val="32"/>
        </w:rPr>
        <w:t>重要工作计划及对应绩效目标和绩效指标的设定未紧扣，</w:t>
      </w:r>
      <w:r>
        <w:rPr>
          <w:rFonts w:hint="eastAsia" w:ascii="仿宋" w:hAnsi="仿宋" w:eastAsia="仿宋" w:cs="仿宋"/>
          <w:sz w:val="32"/>
          <w:szCs w:val="32"/>
          <w:lang w:val="en-US" w:eastAsia="zh-CN"/>
        </w:rPr>
        <w:t>任需提高</w:t>
      </w:r>
      <w:r>
        <w:rPr>
          <w:rFonts w:hint="eastAsia" w:ascii="仿宋" w:hAnsi="仿宋" w:eastAsia="仿宋" w:cs="仿宋"/>
          <w:sz w:val="32"/>
          <w:szCs w:val="32"/>
        </w:rPr>
        <w:t>目标体系设置精细化程度。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预算编制管理有待加强。设备购置费项目预算偏高，预算编制时在系统中未勾选政府采购选项，导致项目资金未从设备购置费支出，设备购置费项目预算执行率较低，仍需加强预算编制的管理和学习。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绩效管理意识有待加强，尚未能全面深入理解绩效管理工作的意义，绩效管理经验不足。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下一步拟改进措施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严格按照预算绩效目标的编制要求，坚持定性与定量相结合，实事求是、客观公正、层次清楚、突出重点。凡是可以量化的三级指标，都要予以量化;确实难以量化的，要提炼出能够反映目标任务和预期成效的结果性描述。科学合理编制预算，严格执行预算;加强单位内控制度建设，完善相关内部管理制度;进一步提高资金使用效益。</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2.我局 2022 年整体项目支出使用情况良好，但有部分项目受项目推进速度原因，未按计划完成工作进度。</w:t>
      </w:r>
    </w:p>
    <w:p>
      <w:pPr>
        <w:rPr>
          <w:rFonts w:hint="eastAsia" w:ascii="仿宋" w:hAnsi="仿宋" w:eastAsia="仿宋" w:cs="仿宋"/>
          <w:sz w:val="32"/>
          <w:szCs w:val="32"/>
        </w:rPr>
      </w:pPr>
      <w:r>
        <w:rPr>
          <w:rFonts w:hint="eastAsia" w:ascii="仿宋" w:hAnsi="仿宋" w:eastAsia="仿宋" w:cs="仿宋"/>
          <w:sz w:val="32"/>
          <w:szCs w:val="32"/>
        </w:rPr>
        <w:t>针对上述存在问题，我局将加强改进。一是加强预算编制管理，科学规划预算编制工作。二是加强资金使用管理和项目支出调度，加强项目开展事前事中事后的跟踪和支出进度的控制，开展项目绩效评价，科学、合理安排项目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outlineLvl w:val="9"/>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附件4</w:t>
      </w:r>
    </w:p>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2023年度XX部门绩效自评情况汇总表</w:t>
      </w:r>
    </w:p>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方正小标宋简体" w:hAnsi="方正小标宋简体" w:eastAsia="方正小标宋简体" w:cs="方正小标宋简体"/>
          <w:color w:val="auto"/>
          <w:sz w:val="36"/>
          <w:szCs w:val="36"/>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jc w:val="both"/>
        <w:textAlignment w:val="auto"/>
        <w:outlineLvl w:val="9"/>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填报日期：2024.4.19                绩效自评覆盖率：100%</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923"/>
        <w:gridCol w:w="3885"/>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7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序号</w:t>
            </w:r>
          </w:p>
        </w:tc>
        <w:tc>
          <w:tcPr>
            <w:tcW w:w="19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项目名称</w:t>
            </w:r>
          </w:p>
        </w:tc>
        <w:tc>
          <w:tcPr>
            <w:tcW w:w="3885"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资金使用单位</w:t>
            </w:r>
          </w:p>
        </w:tc>
        <w:tc>
          <w:tcPr>
            <w:tcW w:w="1928" w:type="dxa"/>
            <w:vAlign w:val="center"/>
          </w:tcPr>
          <w:p>
            <w:pPr>
              <w:keepNext w:val="0"/>
              <w:keepLines w:val="0"/>
              <w:pageBreakBefore w:val="0"/>
              <w:widowControl w:val="0"/>
              <w:kinsoku/>
              <w:wordWrap/>
              <w:overflowPunct/>
              <w:topLinePunct w:val="0"/>
              <w:autoSpaceDE w:val="0"/>
              <w:autoSpaceDN w:val="0"/>
              <w:bidi w:val="0"/>
              <w:adjustRightInd w:val="0"/>
              <w:snapToGrid w:val="0"/>
              <w:spacing w:line="48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财政资金总额（万元）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综合事务管理</w:t>
            </w: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1190.89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2</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辅警服务费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1524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设备购置费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1661.7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4</w:t>
            </w: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公安业务费</w:t>
            </w:r>
          </w:p>
        </w:tc>
        <w:tc>
          <w:tcPr>
            <w:tcW w:w="3885" w:type="dxa"/>
            <w:vAlign w:val="top"/>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鄂州市公安局临空经济区分局</w:t>
            </w: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default"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1222.2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3"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3885"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c>
          <w:tcPr>
            <w:tcW w:w="1928" w:type="dxa"/>
          </w:tcPr>
          <w:p>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outlineLvl w:val="9"/>
              <w:rPr>
                <w:rFonts w:hint="eastAsia" w:ascii="仿宋_GB2312" w:hAnsi="仿宋_GB2312" w:eastAsia="仿宋_GB2312" w:cs="仿宋_GB2312"/>
                <w:color w:val="auto"/>
                <w:sz w:val="28"/>
                <w:szCs w:val="28"/>
                <w:vertAlign w:val="baseline"/>
                <w:lang w:val="en-US" w:eastAsia="zh-CN"/>
              </w:rPr>
            </w:pPr>
          </w:p>
        </w:tc>
      </w:tr>
    </w:tbl>
    <w:p>
      <w:pPr>
        <w:keepNext w:val="0"/>
        <w:keepLines w:val="0"/>
        <w:pageBreakBefore w:val="0"/>
        <w:widowControl w:val="0"/>
        <w:kinsoku/>
        <w:wordWrap/>
        <w:overflowPunct/>
        <w:topLinePunct w:val="0"/>
        <w:autoSpaceDE w:val="0"/>
        <w:autoSpaceDN w:val="0"/>
        <w:bidi w:val="0"/>
        <w:adjustRightInd w:val="0"/>
        <w:snapToGrid w:val="0"/>
        <w:spacing w:line="400" w:lineRule="exact"/>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备注：1.部门预算项目以二级项目填报，市直专项、市对下专项转移支付项目，具有特定用途和具体使用目标的共同事权类一般性转移支付以一级项目填报。</w:t>
      </w:r>
    </w:p>
    <w:p>
      <w:pPr>
        <w:keepNext w:val="0"/>
        <w:keepLines w:val="0"/>
        <w:pageBreakBefore w:val="0"/>
        <w:widowControl w:val="0"/>
        <w:kinsoku/>
        <w:wordWrap/>
        <w:overflowPunct/>
        <w:topLinePunct w:val="0"/>
        <w:autoSpaceDE w:val="0"/>
        <w:autoSpaceDN w:val="0"/>
        <w:bidi w:val="0"/>
        <w:adjustRightInd w:val="0"/>
        <w:snapToGrid w:val="0"/>
        <w:spacing w:line="400" w:lineRule="exact"/>
        <w:ind w:firstLine="480" w:firstLineChars="200"/>
        <w:jc w:val="both"/>
        <w:textAlignment w:val="auto"/>
        <w:outlineLvl w:val="9"/>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2.财政资金总额口径包括中央、省、市安排的一般公共预算资金、政府性基金预算资金、国有资本经营预算资金和社会保险基金预算资金。</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5983D4"/>
    <w:multiLevelType w:val="singleLevel"/>
    <w:tmpl w:val="F85983D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Y3Njg3NThiZDI3ZTUzNTk3M2FlMGFlM2ZkOGEifQ=="/>
  </w:docVars>
  <w:rsids>
    <w:rsidRoot w:val="5455088D"/>
    <w:rsid w:val="54550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2024-04-30T02:45:00Z</dcterms:created>
  <dc:creator>Lenovo</dc:creator>
  <cp:lastModifiedBy>Lenovo</cp:lastModifiedBy>
  <dcterms:modified xsi:type="dcterms:W3CDTF">2024-04-30T02:46:12Z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3974DEEDE6154DF2A7F02E06C396F727_11</vt:lpwstr>
  </property>
</Properties>
</file>