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hAnsi="Times New Roman" w:eastAsia="方正小标宋简体" w:cs="Times New Roman"/>
          <w:color w:val="auto"/>
          <w:sz w:val="40"/>
          <w:szCs w:val="40"/>
          <w:highlight w:val="none"/>
        </w:rPr>
      </w:pPr>
      <w:r>
        <w:rPr>
          <w:rFonts w:hint="eastAsia" w:ascii="方正小标宋简体" w:hAnsi="Times New Roman" w:eastAsia="方正小标宋简体" w:cs="Times New Roman"/>
          <w:color w:val="auto"/>
          <w:sz w:val="40"/>
          <w:szCs w:val="40"/>
          <w:highlight w:val="none"/>
        </w:rPr>
        <w:t>部门整体绩效目标申报表</w:t>
      </w:r>
    </w:p>
    <w:p>
      <w:pPr>
        <w:widowControl/>
        <w:spacing w:before="156" w:beforeLines="50"/>
        <w:rPr>
          <w:rFonts w:ascii="楷体_GB2312" w:hAnsi="Times New Roman" w:eastAsia="楷体_GB2312" w:cs="Times New Roman"/>
          <w:color w:val="auto"/>
          <w:sz w:val="28"/>
          <w:szCs w:val="28"/>
          <w:highlight w:val="none"/>
        </w:rPr>
      </w:pPr>
      <w:r>
        <w:rPr>
          <w:rFonts w:hint="eastAsia" w:ascii="楷体_GB2312" w:hAnsi="Times New Roman" w:eastAsia="楷体_GB2312"/>
          <w:color w:val="auto"/>
          <w:sz w:val="28"/>
          <w:szCs w:val="28"/>
          <w:highlight w:val="none"/>
        </w:rPr>
        <w:t>填报日期：       年     月     日                单位：万元</w:t>
      </w:r>
    </w:p>
    <w:tbl>
      <w:tblPr>
        <w:tblStyle w:val="3"/>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794"/>
        <w:gridCol w:w="29"/>
        <w:gridCol w:w="1106"/>
        <w:gridCol w:w="392"/>
        <w:gridCol w:w="913"/>
        <w:gridCol w:w="752"/>
        <w:gridCol w:w="603"/>
        <w:gridCol w:w="34"/>
        <w:gridCol w:w="14"/>
        <w:gridCol w:w="882"/>
        <w:gridCol w:w="29"/>
        <w:gridCol w:w="930"/>
        <w:gridCol w:w="24"/>
        <w:gridCol w:w="504"/>
        <w:gridCol w:w="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highlight w:val="none"/>
              </w:rPr>
            </w:pPr>
            <w:r>
              <w:rPr>
                <w:rFonts w:hint="eastAsia" w:ascii="仿宋_GB2312" w:hAnsi="宋体" w:eastAsia="仿宋_GB2312"/>
                <w:color w:val="auto"/>
                <w:kern w:val="0"/>
                <w:highlight w:val="none"/>
              </w:rPr>
              <w:t>部门（单位）</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名称</w:t>
            </w:r>
          </w:p>
        </w:tc>
        <w:tc>
          <w:tcPr>
            <w:tcW w:w="7520" w:type="dxa"/>
            <w:gridSpan w:val="15"/>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eastAsia="zh-CN"/>
              </w:rPr>
              <w:t>沙窝乡人民政府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填报人</w:t>
            </w:r>
          </w:p>
        </w:tc>
        <w:tc>
          <w:tcPr>
            <w:tcW w:w="192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邵敏</w:t>
            </w:r>
            <w:r>
              <w:rPr>
                <w:rFonts w:hint="eastAsia" w:ascii="仿宋_GB2312" w:hAnsi="宋体" w:eastAsia="仿宋_GB2312"/>
                <w:color w:val="auto"/>
                <w:kern w:val="0"/>
                <w:highlight w:val="none"/>
              </w:rPr>
              <w:t>　</w:t>
            </w:r>
          </w:p>
        </w:tc>
        <w:tc>
          <w:tcPr>
            <w:tcW w:w="130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联系电话</w:t>
            </w:r>
          </w:p>
        </w:tc>
        <w:tc>
          <w:tcPr>
            <w:tcW w:w="4286" w:type="dxa"/>
            <w:gridSpan w:val="10"/>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15827232440</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restart"/>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部门总体</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资金情况</w:t>
            </w:r>
          </w:p>
        </w:tc>
        <w:tc>
          <w:tcPr>
            <w:tcW w:w="3234" w:type="dxa"/>
            <w:gridSpan w:val="5"/>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总体资金情况</w:t>
            </w:r>
          </w:p>
        </w:tc>
        <w:tc>
          <w:tcPr>
            <w:tcW w:w="1355"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当年金额</w:t>
            </w:r>
          </w:p>
        </w:tc>
        <w:tc>
          <w:tcPr>
            <w:tcW w:w="959" w:type="dxa"/>
            <w:gridSpan w:val="4"/>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占比</w:t>
            </w:r>
          </w:p>
        </w:tc>
        <w:tc>
          <w:tcPr>
            <w:tcW w:w="1972"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近两年收支金额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3234" w:type="dxa"/>
            <w:gridSpan w:val="5"/>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355"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59" w:type="dxa"/>
            <w:gridSpan w:val="4"/>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2022</w:t>
            </w:r>
            <w:r>
              <w:rPr>
                <w:rFonts w:hint="eastAsia" w:ascii="仿宋_GB2312" w:hAnsi="宋体" w:eastAsia="仿宋_GB2312"/>
                <w:color w:val="auto"/>
                <w:kern w:val="0"/>
                <w:highlight w:val="none"/>
              </w:rPr>
              <w:t>年</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2023</w:t>
            </w:r>
            <w:r>
              <w:rPr>
                <w:rFonts w:hint="eastAsia" w:ascii="仿宋_GB2312" w:hAnsi="宋体" w:eastAsia="仿宋_GB2312"/>
                <w:color w:val="auto"/>
                <w:kern w:val="0"/>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收入</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411"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财政拨款</w:t>
            </w:r>
          </w:p>
        </w:tc>
        <w:tc>
          <w:tcPr>
            <w:tcW w:w="135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4218.93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5688.08</w:t>
            </w: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4206.62</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411"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财政专户管理资金</w:t>
            </w:r>
          </w:p>
        </w:tc>
        <w:tc>
          <w:tcPr>
            <w:tcW w:w="135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411"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单位资金</w:t>
            </w:r>
          </w:p>
        </w:tc>
        <w:tc>
          <w:tcPr>
            <w:tcW w:w="135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411"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35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 xml:space="preserve">4218.93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5688.08</w:t>
            </w: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4206.62</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支出</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411"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人员类项目支出</w:t>
            </w:r>
          </w:p>
        </w:tc>
        <w:tc>
          <w:tcPr>
            <w:tcW w:w="135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1097.9</w:t>
            </w:r>
            <w:r>
              <w:rPr>
                <w:rFonts w:hint="eastAsia" w:ascii="仿宋_GB2312" w:hAnsi="宋体" w:eastAsia="仿宋_GB2312"/>
                <w:color w:val="auto"/>
                <w:kern w:val="0"/>
                <w:highlight w:val="none"/>
              </w:rPr>
              <w:t>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26.2%</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1137.08</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1174.44</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411"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运转类项目支出</w:t>
            </w:r>
          </w:p>
        </w:tc>
        <w:tc>
          <w:tcPr>
            <w:tcW w:w="135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3121.03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73.8%</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4551</w:t>
            </w:r>
            <w:r>
              <w:rPr>
                <w:rFonts w:hint="eastAsia" w:ascii="仿宋_GB2312" w:hAnsi="宋体" w:eastAsia="仿宋_GB2312"/>
                <w:color w:val="auto"/>
                <w:kern w:val="0"/>
                <w:highlight w:val="none"/>
              </w:rPr>
              <w:t xml:space="preserve">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3032.18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411"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特定目标类项目支出</w:t>
            </w:r>
          </w:p>
        </w:tc>
        <w:tc>
          <w:tcPr>
            <w:tcW w:w="135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411"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355"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4218.93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5688.08</w:t>
            </w:r>
            <w:r>
              <w:rPr>
                <w:rFonts w:hint="eastAsia" w:ascii="仿宋_GB2312" w:hAnsi="宋体" w:eastAsia="仿宋_GB2312"/>
                <w:color w:val="auto"/>
                <w:kern w:val="0"/>
                <w:highlight w:val="none"/>
              </w:rPr>
              <w:t xml:space="preserve">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4206.62</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部门职能概述</w:t>
            </w:r>
          </w:p>
        </w:tc>
        <w:tc>
          <w:tcPr>
            <w:tcW w:w="7520" w:type="dxa"/>
            <w:gridSpan w:val="15"/>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ind w:firstLine="0" w:firstLineChars="0"/>
              <w:rPr>
                <w:rFonts w:ascii="仿宋_GB2312" w:hAnsi="宋体" w:eastAsia="仿宋_GB2312"/>
                <w:color w:val="auto"/>
                <w:kern w:val="0"/>
                <w:highlight w:val="none"/>
              </w:rPr>
            </w:pPr>
            <w:r>
              <w:rPr>
                <w:rFonts w:hint="eastAsia" w:ascii="宋体" w:hAnsi="宋体"/>
                <w:color w:val="auto"/>
                <w:kern w:val="0"/>
                <w:highlight w:val="none"/>
              </w:rPr>
              <w:t> </w:t>
            </w:r>
          </w:p>
          <w:p>
            <w:pPr>
              <w:widowControl/>
              <w:snapToGrid w:val="0"/>
              <w:ind w:firstLine="0" w:firstLineChars="0"/>
              <w:rPr>
                <w:rFonts w:ascii="仿宋_GB2312" w:hAnsi="宋体" w:eastAsia="仿宋_GB2312"/>
                <w:color w:val="auto"/>
                <w:kern w:val="0"/>
                <w:highlight w:val="none"/>
              </w:rPr>
            </w:pPr>
            <w:r>
              <w:rPr>
                <w:rFonts w:hint="eastAsia" w:ascii="仿宋_GB2312" w:hAnsi="宋体" w:eastAsia="仿宋_GB2312"/>
                <w:color w:val="auto"/>
                <w:kern w:val="0"/>
                <w:highlight w:val="none"/>
              </w:rPr>
              <w:t>1.</w:t>
            </w:r>
            <w:r>
              <w:rPr>
                <w:rFonts w:hint="eastAsia" w:ascii="仿宋_GB2312" w:hAnsi="宋体" w:eastAsia="仿宋_GB2312"/>
                <w:color w:val="auto"/>
                <w:kern w:val="0"/>
                <w:highlight w:val="none"/>
                <w:u w:val="single"/>
              </w:rPr>
              <w:t>宣传和贯彻执行党的路线、方针、政策和上级党组织及本镇党委的决议</w:t>
            </w:r>
            <w:r>
              <w:rPr>
                <w:rFonts w:hint="eastAsia" w:ascii="仿宋_GB2312" w:hAnsi="宋体" w:eastAsia="仿宋_GB2312"/>
                <w:color w:val="auto"/>
                <w:kern w:val="0"/>
                <w:highlight w:val="none"/>
              </w:rPr>
              <w:t>；</w:t>
            </w:r>
          </w:p>
          <w:p>
            <w:pPr>
              <w:widowControl/>
              <w:snapToGrid w:val="0"/>
              <w:ind w:firstLine="0" w:firstLineChars="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2.</w:t>
            </w:r>
            <w:r>
              <w:rPr>
                <w:rFonts w:hint="eastAsia" w:ascii="仿宋_GB2312" w:hAnsi="宋体" w:eastAsia="仿宋_GB2312"/>
                <w:color w:val="auto"/>
                <w:kern w:val="0"/>
                <w:highlight w:val="none"/>
                <w:u w:val="single"/>
              </w:rPr>
              <w:t>领导镇政府机关和群众组织，支持和保证这些机关和组织依照国家法律法规及各自章程充分行使职权</w:t>
            </w:r>
            <w:r>
              <w:rPr>
                <w:rFonts w:hint="eastAsia" w:ascii="仿宋_GB2312" w:hAnsi="宋体" w:eastAsia="仿宋_GB2312"/>
                <w:color w:val="auto"/>
                <w:kern w:val="0"/>
                <w:highlight w:val="none"/>
              </w:rPr>
              <w:t>；</w:t>
            </w:r>
          </w:p>
          <w:p>
            <w:pPr>
              <w:widowControl/>
              <w:snapToGrid w:val="0"/>
              <w:ind w:firstLine="0" w:firstLineChars="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3.</w:t>
            </w:r>
            <w:r>
              <w:rPr>
                <w:rFonts w:hint="eastAsia" w:ascii="仿宋_GB2312" w:hAnsi="宋体" w:eastAsia="仿宋_GB2312"/>
                <w:color w:val="auto"/>
                <w:kern w:val="0"/>
                <w:highlight w:val="none"/>
                <w:u w:val="single"/>
              </w:rPr>
              <w:t>讨论决定本镇经济建设和社会发展中的重大问题，需由镇政府机关或集体经济组织决定的问题,由镇政府机关或集体经济组织依法律和有关法规作出决定</w:t>
            </w:r>
            <w:r>
              <w:rPr>
                <w:rFonts w:hint="eastAsia" w:ascii="仿宋_GB2312" w:hAnsi="宋体" w:eastAsia="仿宋_GB2312"/>
                <w:color w:val="auto"/>
                <w:kern w:val="0"/>
                <w:highlight w:val="none"/>
              </w:rPr>
              <w:t>；</w:t>
            </w:r>
          </w:p>
          <w:p>
            <w:pPr>
              <w:widowControl/>
              <w:snapToGrid w:val="0"/>
              <w:ind w:firstLine="0" w:firstLineChars="0"/>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xml:space="preserve"> </w:t>
            </w:r>
            <w:r>
              <w:rPr>
                <w:rFonts w:hint="eastAsia" w:ascii="仿宋_GB2312" w:hAnsi="宋体" w:eastAsia="仿宋_GB2312"/>
                <w:color w:val="auto"/>
                <w:kern w:val="0"/>
                <w:highlight w:val="none"/>
                <w:lang w:val="en-US" w:eastAsia="zh-CN"/>
              </w:rPr>
              <w:t>4.</w:t>
            </w:r>
            <w:r>
              <w:rPr>
                <w:rFonts w:hint="eastAsia" w:ascii="仿宋_GB2312" w:hAnsi="宋体" w:eastAsia="仿宋_GB2312"/>
                <w:color w:val="auto"/>
                <w:kern w:val="0"/>
                <w:highlight w:val="none"/>
                <w:u w:val="single"/>
                <w:lang w:val="en-US" w:eastAsia="zh-CN"/>
              </w:rPr>
              <w:t>加强党委自身建设和以党支部为核心的村级组织建设，密切联系群众</w:t>
            </w:r>
            <w:r>
              <w:rPr>
                <w:rFonts w:hint="eastAsia" w:ascii="仿宋_GB2312" w:hAnsi="宋体" w:eastAsia="仿宋_GB2312"/>
                <w:color w:val="auto"/>
                <w:kern w:val="0"/>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年度工作任务</w:t>
            </w:r>
          </w:p>
        </w:tc>
        <w:tc>
          <w:tcPr>
            <w:tcW w:w="7520" w:type="dxa"/>
            <w:gridSpan w:val="15"/>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ascii="仿宋_GB2312" w:hAnsi="宋体" w:eastAsia="仿宋_GB2312"/>
                <w:color w:val="auto"/>
                <w:kern w:val="0"/>
                <w:highlight w:val="none"/>
              </w:rPr>
            </w:pPr>
            <w:r>
              <w:rPr>
                <w:rFonts w:hint="eastAsia" w:ascii="宋体" w:hAnsi="宋体"/>
                <w:color w:val="auto"/>
                <w:kern w:val="0"/>
                <w:highlight w:val="none"/>
              </w:rPr>
              <w:t> </w:t>
            </w:r>
          </w:p>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1.</w:t>
            </w:r>
            <w:r>
              <w:rPr>
                <w:rFonts w:hint="eastAsia" w:ascii="仿宋_GB2312" w:hAnsi="宋体" w:eastAsia="仿宋_GB2312"/>
                <w:color w:val="auto"/>
                <w:kern w:val="0"/>
                <w:highlight w:val="none"/>
                <w:u w:val="single"/>
              </w:rPr>
              <w:t>继续抓好经济发展工作</w:t>
            </w:r>
            <w:r>
              <w:rPr>
                <w:rFonts w:hint="eastAsia" w:ascii="仿宋_GB2312" w:hAnsi="宋体" w:eastAsia="仿宋_GB2312"/>
                <w:color w:val="auto"/>
                <w:kern w:val="0"/>
                <w:highlight w:val="none"/>
              </w:rPr>
              <w:t>；</w:t>
            </w:r>
          </w:p>
          <w:p>
            <w:pPr>
              <w:widowControl/>
              <w:snapToGrid w:val="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2.</w:t>
            </w:r>
            <w:r>
              <w:rPr>
                <w:rFonts w:hint="eastAsia" w:ascii="仿宋_GB2312" w:hAnsi="宋体" w:eastAsia="仿宋_GB2312"/>
                <w:color w:val="auto"/>
                <w:kern w:val="0"/>
                <w:highlight w:val="none"/>
                <w:u w:val="single"/>
              </w:rPr>
              <w:t>进一步改善</w:t>
            </w:r>
            <w:r>
              <w:rPr>
                <w:rFonts w:hint="eastAsia" w:ascii="仿宋_GB2312" w:hAnsi="宋体" w:eastAsia="仿宋_GB2312"/>
                <w:color w:val="auto"/>
                <w:kern w:val="0"/>
                <w:highlight w:val="none"/>
                <w:u w:val="single"/>
                <w:lang w:eastAsia="zh-CN"/>
              </w:rPr>
              <w:t>乡镇</w:t>
            </w:r>
            <w:r>
              <w:rPr>
                <w:rFonts w:hint="eastAsia" w:ascii="仿宋_GB2312" w:hAnsi="宋体" w:eastAsia="仿宋_GB2312"/>
                <w:color w:val="auto"/>
                <w:kern w:val="0"/>
                <w:highlight w:val="none"/>
                <w:u w:val="single"/>
              </w:rPr>
              <w:t>环境卫生，大力推进生态文明和农村生活垃圾治理工作</w:t>
            </w:r>
            <w:r>
              <w:rPr>
                <w:rFonts w:hint="eastAsia" w:ascii="仿宋_GB2312" w:hAnsi="宋体" w:eastAsia="仿宋_GB2312"/>
                <w:color w:val="auto"/>
                <w:kern w:val="0"/>
                <w:highlight w:val="none"/>
              </w:rPr>
              <w:t>；</w:t>
            </w:r>
          </w:p>
          <w:p>
            <w:pPr>
              <w:widowControl/>
              <w:snapToGrid w:val="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3.</w:t>
            </w:r>
            <w:r>
              <w:rPr>
                <w:rFonts w:hint="eastAsia" w:ascii="仿宋_GB2312" w:hAnsi="宋体" w:eastAsia="仿宋_GB2312"/>
                <w:color w:val="auto"/>
                <w:kern w:val="0"/>
                <w:highlight w:val="none"/>
                <w:u w:val="single"/>
              </w:rPr>
              <w:t>加强社会管理力度。重点整合派出所、司法所和综治办的力量，建立和完善长效的矛盾纠纷化解机制，切实解决群众反映的热点难点问题，维护好群众利益，确保社会大局稳定</w:t>
            </w:r>
            <w:r>
              <w:rPr>
                <w:rFonts w:hint="eastAsia" w:ascii="仿宋_GB2312" w:hAnsi="宋体" w:eastAsia="仿宋_GB2312"/>
                <w:color w:val="auto"/>
                <w:kern w:val="0"/>
                <w:highlight w:val="none"/>
              </w:rPr>
              <w:t>；</w:t>
            </w:r>
          </w:p>
          <w:p>
            <w:pPr>
              <w:widowControl/>
              <w:snapToGrid w:val="0"/>
              <w:rPr>
                <w:rFonts w:hint="default" w:ascii="仿宋_GB2312" w:hAnsi="宋体" w:eastAsia="仿宋_GB2312"/>
                <w:color w:val="auto"/>
                <w:kern w:val="0"/>
                <w:highlight w:val="none"/>
                <w:u w:val="none"/>
                <w:lang w:val="en-US" w:eastAsia="zh-CN"/>
              </w:rPr>
            </w:pPr>
            <w:r>
              <w:rPr>
                <w:rFonts w:hint="eastAsia" w:ascii="仿宋_GB2312" w:hAnsi="宋体" w:eastAsia="仿宋_GB2312"/>
                <w:color w:val="auto"/>
                <w:kern w:val="0"/>
                <w:highlight w:val="none"/>
              </w:rPr>
              <w:t xml:space="preserve"> </w:t>
            </w:r>
            <w:r>
              <w:rPr>
                <w:rFonts w:hint="eastAsia" w:ascii="仿宋_GB2312" w:hAnsi="宋体" w:eastAsia="仿宋_GB2312"/>
                <w:color w:val="auto"/>
                <w:kern w:val="0"/>
                <w:highlight w:val="none"/>
                <w:lang w:val="en-US" w:eastAsia="zh-CN"/>
              </w:rPr>
              <w:t>4.</w:t>
            </w:r>
            <w:r>
              <w:rPr>
                <w:rFonts w:hint="eastAsia" w:ascii="仿宋_GB2312" w:hAnsi="宋体" w:eastAsia="仿宋_GB2312"/>
                <w:color w:val="auto"/>
                <w:kern w:val="0"/>
                <w:highlight w:val="none"/>
                <w:u w:val="single"/>
                <w:lang w:val="en-US" w:eastAsia="zh-CN"/>
              </w:rPr>
              <w:t>加强党的建设。以解决领导班子与领导干部“四风”问题为重点，落实好党风廉政建设责任制，落实党廉建设的“两个责任”</w:t>
            </w:r>
            <w:r>
              <w:rPr>
                <w:rFonts w:hint="eastAsia" w:ascii="仿宋_GB2312" w:hAnsi="宋体" w:eastAsia="仿宋_GB2312"/>
                <w:color w:val="auto"/>
                <w:kern w:val="0"/>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tcMar>
              <w:left w:w="57" w:type="dxa"/>
              <w:right w:w="57" w:type="dxa"/>
            </w:tcMar>
            <w:vAlign w:val="center"/>
          </w:tcPr>
          <w:p>
            <w:pPr>
              <w:widowControl/>
              <w:snapToGrid w:val="0"/>
              <w:jc w:val="center"/>
              <w:rPr>
                <w:rFonts w:ascii="仿宋_GB2312" w:hAnsi="宋体" w:eastAsia="仿宋_GB2312" w:cs="仿宋_GB2312"/>
                <w:b/>
                <w:bCs/>
                <w:color w:val="auto"/>
                <w:kern w:val="0"/>
                <w:highlight w:val="none"/>
              </w:rPr>
            </w:pPr>
            <w:r>
              <w:rPr>
                <w:rFonts w:hint="eastAsia" w:ascii="仿宋_GB2312" w:hAnsi="宋体" w:eastAsia="仿宋_GB2312" w:cs="仿宋_GB2312"/>
                <w:b/>
                <w:bCs/>
                <w:color w:val="auto"/>
                <w:kern w:val="0"/>
                <w:highlight w:val="none"/>
              </w:rPr>
              <w:t>长期目标：</w:t>
            </w:r>
          </w:p>
          <w:p>
            <w:pPr>
              <w:widowControl/>
              <w:snapToGrid w:val="0"/>
              <w:jc w:val="center"/>
              <w:rPr>
                <w:rFonts w:ascii="仿宋_GB2312" w:hAnsi="宋体" w:eastAsia="仿宋_GB2312"/>
                <w:b/>
                <w:bCs/>
                <w:color w:val="auto"/>
                <w:kern w:val="0"/>
                <w:highlight w:val="none"/>
              </w:rPr>
            </w:pPr>
            <w:r>
              <w:rPr>
                <w:rFonts w:ascii="仿宋_GB2312" w:hAnsi="宋体" w:eastAsia="仿宋_GB2312" w:cs="仿宋_GB2312"/>
                <w:color w:val="auto"/>
                <w:kern w:val="0"/>
                <w:highlight w:val="none"/>
              </w:rPr>
              <w:t>（</w:t>
            </w:r>
            <w:r>
              <w:rPr>
                <w:rFonts w:hint="eastAsia" w:ascii="仿宋_GB2312" w:hAnsi="宋体" w:eastAsia="仿宋_GB2312" w:cs="仿宋_GB2312"/>
                <w:color w:val="auto"/>
                <w:kern w:val="0"/>
                <w:highlight w:val="none"/>
              </w:rPr>
              <w:t>截止</w:t>
            </w:r>
            <w:r>
              <w:rPr>
                <w:rFonts w:hint="eastAsia" w:ascii="仿宋_GB2312" w:hAnsi="宋体" w:eastAsia="仿宋_GB2312" w:cs="仿宋_GB2312"/>
                <w:color w:val="auto"/>
                <w:kern w:val="0"/>
                <w:highlight w:val="none"/>
                <w:lang w:val="en-US" w:eastAsia="zh-CN"/>
              </w:rPr>
              <w:t>2026</w:t>
            </w:r>
            <w:r>
              <w:rPr>
                <w:rFonts w:hint="eastAsia" w:ascii="仿宋_GB2312" w:hAnsi="宋体" w:eastAsia="仿宋_GB2312" w:cs="仿宋_GB2312"/>
                <w:color w:val="auto"/>
                <w:kern w:val="0"/>
                <w:highlight w:val="none"/>
              </w:rPr>
              <w:t>年）</w:t>
            </w:r>
          </w:p>
        </w:tc>
        <w:tc>
          <w:tcPr>
            <w:tcW w:w="7520" w:type="dxa"/>
            <w:gridSpan w:val="15"/>
            <w:tcMar>
              <w:left w:w="57" w:type="dxa"/>
              <w:right w:w="57" w:type="dxa"/>
            </w:tcMar>
            <w:vAlign w:val="center"/>
          </w:tcPr>
          <w:p>
            <w:pPr>
              <w:widowControl/>
              <w:snapToGrid w:val="0"/>
              <w:jc w:val="left"/>
              <w:rPr>
                <w:rFonts w:hint="eastAsia" w:ascii="仿宋_GB2312" w:hAnsi="宋体" w:eastAsia="仿宋_GB2312"/>
                <w:color w:val="auto"/>
                <w:kern w:val="0"/>
                <w:highlight w:val="none"/>
                <w:lang w:eastAsia="zh-CN"/>
              </w:rPr>
            </w:pPr>
            <w:r>
              <w:rPr>
                <w:rFonts w:hint="eastAsia" w:ascii="仿宋_GB2312" w:hAnsi="宋体" w:eastAsia="仿宋_GB2312" w:cs="仿宋_GB2312"/>
                <w:color w:val="auto"/>
                <w:kern w:val="0"/>
                <w:highlight w:val="none"/>
              </w:rPr>
              <w:t>　在</w:t>
            </w:r>
            <w:r>
              <w:rPr>
                <w:rFonts w:hint="eastAsia" w:ascii="仿宋_GB2312" w:hAnsi="宋体" w:eastAsia="仿宋_GB2312" w:cs="仿宋_GB2312"/>
                <w:color w:val="auto"/>
                <w:kern w:val="0"/>
                <w:highlight w:val="none"/>
                <w:lang w:eastAsia="zh-CN"/>
              </w:rPr>
              <w:t>区管委会</w:t>
            </w:r>
            <w:r>
              <w:rPr>
                <w:rFonts w:hint="eastAsia" w:ascii="仿宋_GB2312" w:hAnsi="宋体" w:eastAsia="仿宋_GB2312" w:cs="仿宋_GB2312"/>
                <w:color w:val="auto"/>
                <w:kern w:val="0"/>
                <w:highlight w:val="none"/>
              </w:rPr>
              <w:t>的正确领导下，</w:t>
            </w:r>
            <w:r>
              <w:rPr>
                <w:rFonts w:hint="eastAsia" w:ascii="仿宋_GB2312" w:hAnsi="宋体" w:eastAsia="仿宋_GB2312" w:cs="仿宋_GB2312"/>
                <w:color w:val="auto"/>
                <w:kern w:val="0"/>
                <w:highlight w:val="none"/>
                <w:lang w:eastAsia="zh-CN"/>
              </w:rPr>
              <w:t>深入贯彻落实习近平新时达中国特色社会主义思想</w:t>
            </w:r>
            <w:r>
              <w:rPr>
                <w:rFonts w:hint="eastAsia" w:ascii="仿宋_GB2312" w:hAnsi="宋体" w:eastAsia="仿宋_GB2312" w:cs="仿宋_GB2312"/>
                <w:color w:val="auto"/>
                <w:kern w:val="0"/>
                <w:highlight w:val="none"/>
              </w:rPr>
              <w:t>，力推</w:t>
            </w:r>
            <w:r>
              <w:rPr>
                <w:rFonts w:hint="eastAsia" w:ascii="仿宋_GB2312" w:hAnsi="宋体" w:eastAsia="仿宋_GB2312" w:cs="仿宋_GB2312"/>
                <w:color w:val="auto"/>
                <w:kern w:val="0"/>
                <w:highlight w:val="none"/>
                <w:lang w:eastAsia="zh-CN"/>
              </w:rPr>
              <w:t>本乡镇经济</w:t>
            </w:r>
            <w:r>
              <w:rPr>
                <w:rFonts w:hint="eastAsia" w:ascii="仿宋_GB2312" w:hAnsi="宋体" w:eastAsia="仿宋_GB2312" w:cs="仿宋_GB2312"/>
                <w:color w:val="auto"/>
                <w:kern w:val="0"/>
                <w:highlight w:val="none"/>
              </w:rPr>
              <w:t>社会</w:t>
            </w:r>
            <w:r>
              <w:rPr>
                <w:rFonts w:hint="eastAsia" w:ascii="仿宋_GB2312" w:hAnsi="宋体" w:eastAsia="仿宋_GB2312" w:cs="仿宋_GB2312"/>
                <w:color w:val="auto"/>
                <w:kern w:val="0"/>
                <w:highlight w:val="none"/>
                <w:lang w:eastAsia="zh-CN"/>
              </w:rPr>
              <w:t>发展</w:t>
            </w:r>
            <w:r>
              <w:rPr>
                <w:rFonts w:hint="eastAsia" w:ascii="仿宋_GB2312" w:hAnsi="宋体" w:eastAsia="仿宋_GB2312" w:cs="仿宋_GB2312"/>
                <w:color w:val="auto"/>
                <w:kern w:val="0"/>
                <w:highlight w:val="none"/>
              </w:rPr>
              <w:t>各项事业迈上新台阶</w:t>
            </w:r>
            <w:r>
              <w:rPr>
                <w:rFonts w:hint="eastAsia" w:ascii="仿宋_GB2312" w:hAnsi="宋体" w:eastAsia="仿宋_GB2312" w:cs="仿宋_GB2312"/>
                <w:color w:val="auto"/>
                <w:kern w:val="0"/>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长期绩</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效指标</w:t>
            </w:r>
          </w:p>
        </w:tc>
        <w:tc>
          <w:tcPr>
            <w:tcW w:w="79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战略管理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FF0000"/>
                <w:kern w:val="0"/>
                <w:highlight w:val="none"/>
                <w:lang w:val="en-US" w:eastAsia="zh-CN"/>
              </w:rPr>
              <w:t>基本健全</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FF0000"/>
                <w:kern w:val="0"/>
                <w:highlight w:val="none"/>
                <w:lang w:val="en-US" w:eastAsia="zh-CN"/>
              </w:rPr>
              <w:t>相对科学</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val="en-US" w:eastAsia="zh-CN"/>
              </w:rPr>
              <w:t>基本合理</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val="en-US" w:eastAsia="zh-CN"/>
              </w:rPr>
              <w:t>基本规范</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auto"/>
                <w:kern w:val="0"/>
                <w:highlight w:val="none"/>
                <w:lang w:val="en-US" w:eastAsia="zh-CN"/>
              </w:rPr>
              <w:t>≤3%</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≥91%</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基本合理</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≥93%</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≥92%</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基本合规</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促进本乡镇就业人数</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rPr>
            </w:pPr>
            <w:r>
              <w:rPr>
                <w:rFonts w:hint="eastAsia" w:ascii="仿宋_GB2312" w:hAnsi="宋体" w:eastAsia="仿宋_GB2312"/>
                <w:color w:val="auto"/>
                <w:kern w:val="0"/>
                <w:highlight w:val="none"/>
                <w:lang w:val="en-US" w:eastAsia="zh-CN"/>
              </w:rPr>
              <w:t>≥5000人</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行业</w:t>
            </w:r>
            <w:r>
              <w:rPr>
                <w:rFonts w:hint="eastAsia" w:ascii="仿宋_GB2312" w:hAnsi="宋体" w:eastAsia="仿宋_GB2312"/>
                <w:color w:val="auto"/>
                <w:kern w:val="0"/>
                <w:highlight w:val="none"/>
              </w:rPr>
              <w:t>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带动本地经济发展带来的效益</w:t>
            </w:r>
          </w:p>
        </w:tc>
        <w:tc>
          <w:tcPr>
            <w:tcW w:w="1533" w:type="dxa"/>
            <w:gridSpan w:val="4"/>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rPr>
            </w:pPr>
            <w:r>
              <w:rPr>
                <w:rFonts w:hint="eastAsia" w:ascii="仿宋_GB2312" w:hAnsi="宋体" w:eastAsia="仿宋_GB2312"/>
                <w:color w:val="auto"/>
                <w:kern w:val="0"/>
                <w:highlight w:val="none"/>
                <w:lang w:val="en-US" w:eastAsia="zh-CN"/>
              </w:rPr>
              <w:t>≥5000万元</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可持续发展能力</w:t>
            </w:r>
          </w:p>
        </w:tc>
        <w:tc>
          <w:tcPr>
            <w:tcW w:w="1527" w:type="dxa"/>
            <w:gridSpan w:val="3"/>
            <w:vMerge w:val="restart"/>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每月开展集中学习理论知识活动</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85%</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基本达标</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92%</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b/>
                <w:bCs/>
                <w:color w:val="auto"/>
                <w:kern w:val="0"/>
                <w:highlight w:val="none"/>
              </w:rPr>
              <w:t>年度目标：</w:t>
            </w:r>
          </w:p>
        </w:tc>
        <w:tc>
          <w:tcPr>
            <w:tcW w:w="7520" w:type="dxa"/>
            <w:gridSpan w:val="15"/>
            <w:tcMar>
              <w:left w:w="57" w:type="dxa"/>
              <w:right w:w="57" w:type="dxa"/>
            </w:tcMar>
            <w:vAlign w:val="center"/>
          </w:tcPr>
          <w:p>
            <w:pPr>
              <w:widowControl/>
              <w:snapToGrid w:val="0"/>
              <w:jc w:val="left"/>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　</w:t>
            </w:r>
            <w:r>
              <w:rPr>
                <w:rFonts w:hint="eastAsia" w:ascii="仿宋_GB2312" w:hAnsi="宋体" w:eastAsia="仿宋_GB2312" w:cs="仿宋_GB2312"/>
                <w:color w:val="auto"/>
                <w:kern w:val="0"/>
                <w:highlight w:val="none"/>
                <w:lang w:eastAsia="zh-CN"/>
              </w:rPr>
              <w:t>在区管委会的正确领导下，深入贯彻落实习近平新时达中国特色社会主义思想，力推本乡镇经济社会发展各项事业迈上新台阶。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年度绩效指标</w:t>
            </w: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二级指标</w:t>
            </w:r>
          </w:p>
        </w:tc>
        <w:tc>
          <w:tcPr>
            <w:tcW w:w="1665" w:type="dxa"/>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三级指标</w:t>
            </w:r>
          </w:p>
        </w:tc>
        <w:tc>
          <w:tcPr>
            <w:tcW w:w="637"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855"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指标值</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514" w:type="dxa"/>
            <w:tcMar>
              <w:left w:w="57" w:type="dxa"/>
              <w:right w:w="57" w:type="dxa"/>
            </w:tcMar>
            <w:vAlign w:val="center"/>
          </w:tcPr>
          <w:p>
            <w:pPr>
              <w:widowControl/>
              <w:snapToGrid w:val="0"/>
              <w:jc w:val="cente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近两年指标值</w:t>
            </w:r>
          </w:p>
        </w:tc>
        <w:tc>
          <w:tcPr>
            <w:tcW w:w="959" w:type="dxa"/>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预期当年实现值</w:t>
            </w:r>
          </w:p>
        </w:tc>
        <w:tc>
          <w:tcPr>
            <w:tcW w:w="528" w:type="dxa"/>
            <w:gridSpan w:val="2"/>
            <w:vMerge w:val="restart"/>
            <w:tcMar>
              <w:left w:w="57" w:type="dxa"/>
              <w:right w:w="57" w:type="dxa"/>
            </w:tcMar>
            <w:vAlign w:val="center"/>
          </w:tcPr>
          <w:p>
            <w:pPr>
              <w:widowControl/>
              <w:snapToGrid w:val="0"/>
              <w:jc w:val="center"/>
            </w:pPr>
          </w:p>
        </w:tc>
        <w:tc>
          <w:tcPr>
            <w:tcW w:w="514"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65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u w:val="single"/>
                <w:lang w:val="en-US" w:eastAsia="zh-CN"/>
              </w:rPr>
              <w:t>2022</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882" w:type="dxa"/>
            <w:tcMar>
              <w:left w:w="57" w:type="dxa"/>
              <w:right w:w="57" w:type="dxa"/>
            </w:tcMar>
            <w:vAlign w:val="center"/>
          </w:tcPr>
          <w:p>
            <w:pPr>
              <w:widowControl/>
              <w:snapToGrid w:val="0"/>
              <w:jc w:val="center"/>
            </w:pPr>
            <w:r>
              <w:rPr>
                <w:rFonts w:hint="eastAsia" w:ascii="仿宋_GB2312" w:hAnsi="宋体" w:eastAsia="仿宋_GB2312" w:cs="仿宋_GB2312"/>
                <w:color w:val="auto"/>
                <w:kern w:val="0"/>
                <w:highlight w:val="none"/>
                <w:u w:val="single"/>
                <w:lang w:val="en-US" w:eastAsia="zh-CN"/>
              </w:rPr>
              <w:t>2023</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959" w:type="dxa"/>
            <w:gridSpan w:val="2"/>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28" w:type="dxa"/>
            <w:gridSpan w:val="2"/>
            <w:vMerge w:val="continue"/>
            <w:tcMar>
              <w:left w:w="57" w:type="dxa"/>
              <w:right w:w="57" w:type="dxa"/>
            </w:tcMar>
            <w:vAlign w:val="center"/>
          </w:tcPr>
          <w:p>
            <w:pPr>
              <w:widowControl/>
              <w:snapToGrid w:val="0"/>
              <w:jc w:val="center"/>
            </w:pPr>
          </w:p>
        </w:tc>
        <w:tc>
          <w:tcPr>
            <w:tcW w:w="514" w:type="dxa"/>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公用经费控制</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公用经费控制率</w:t>
            </w:r>
          </w:p>
        </w:tc>
        <w:tc>
          <w:tcPr>
            <w:tcW w:w="65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≥90%</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≥90%</w:t>
            </w:r>
          </w:p>
        </w:tc>
        <w:tc>
          <w:tcPr>
            <w:tcW w:w="528" w:type="dxa"/>
            <w:gridSpan w:val="2"/>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在职人员控制</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65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≥90%</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≥90%</w:t>
            </w:r>
          </w:p>
        </w:tc>
        <w:tc>
          <w:tcPr>
            <w:tcW w:w="528" w:type="dxa"/>
            <w:gridSpan w:val="2"/>
            <w:tcMar>
              <w:left w:w="57" w:type="dxa"/>
              <w:right w:w="57" w:type="dxa"/>
            </w:tcMar>
            <w:vAlign w:val="center"/>
          </w:tcPr>
          <w:p>
            <w:pPr>
              <w:widowControl/>
              <w:snapToGrid w:val="0"/>
              <w:jc w:val="center"/>
            </w:pPr>
            <w:r>
              <w:rPr>
                <w:rFonts w:hint="eastAsia" w:ascii="仿宋_GB2312" w:hAnsi="宋体" w:eastAsia="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项目支出成本控制</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65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≥90%</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≥90%</w:t>
            </w:r>
          </w:p>
        </w:tc>
        <w:tc>
          <w:tcPr>
            <w:tcW w:w="528" w:type="dxa"/>
            <w:gridSpan w:val="2"/>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65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=0</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val="en-US" w:eastAsia="zh-CN"/>
              </w:rPr>
              <w:t>=0</w:t>
            </w:r>
          </w:p>
        </w:tc>
        <w:tc>
          <w:tcPr>
            <w:tcW w:w="95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=0</w:t>
            </w:r>
          </w:p>
        </w:tc>
        <w:tc>
          <w:tcPr>
            <w:tcW w:w="528" w:type="dxa"/>
            <w:gridSpan w:val="2"/>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b/>
                <w:bCs/>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527" w:type="dxa"/>
            <w:gridSpan w:val="3"/>
            <w:vMerge w:val="restart"/>
            <w:tcMar>
              <w:left w:w="57" w:type="dxa"/>
              <w:right w:w="57" w:type="dxa"/>
            </w:tcMar>
            <w:vAlign w:val="center"/>
          </w:tcPr>
          <w:p>
            <w:pPr>
              <w:widowControl/>
              <w:snapToGrid w:val="0"/>
              <w:jc w:val="center"/>
            </w:pPr>
            <w:r>
              <w:rPr>
                <w:rFonts w:hint="eastAsia" w:ascii="仿宋_GB2312" w:hAnsi="宋体" w:eastAsia="仿宋_GB2312" w:cs="仿宋_GB2312"/>
                <w:color w:val="auto"/>
                <w:kern w:val="0"/>
                <w:highlight w:val="none"/>
              </w:rPr>
              <w:t>战略管理</w:t>
            </w:r>
          </w:p>
        </w:tc>
        <w:tc>
          <w:tcPr>
            <w:tcW w:w="1665" w:type="dxa"/>
            <w:gridSpan w:val="2"/>
            <w:tcMar>
              <w:left w:w="57" w:type="dxa"/>
              <w:right w:w="57" w:type="dxa"/>
            </w:tcMar>
            <w:vAlign w:val="center"/>
          </w:tcPr>
          <w:p>
            <w:pPr>
              <w:widowControl/>
              <w:snapToGrid w:val="0"/>
              <w:jc w:val="center"/>
            </w:pPr>
            <w:r>
              <w:rPr>
                <w:rFonts w:hint="eastAsia" w:ascii="仿宋_GB2312" w:hAnsi="宋体" w:eastAsia="仿宋_GB2312"/>
                <w:color w:val="auto"/>
                <w:kern w:val="0"/>
                <w:highlight w:val="none"/>
              </w:rPr>
              <w:t>中长期规划相符性</w:t>
            </w:r>
          </w:p>
        </w:tc>
        <w:tc>
          <w:tcPr>
            <w:tcW w:w="651" w:type="dxa"/>
            <w:gridSpan w:val="3"/>
            <w:tcMar>
              <w:left w:w="57" w:type="dxa"/>
              <w:right w:w="57" w:type="dxa"/>
            </w:tcMar>
            <w:vAlign w:val="center"/>
          </w:tcPr>
          <w:p>
            <w:pPr>
              <w:widowControl/>
              <w:snapToGrid w:val="0"/>
              <w:jc w:val="center"/>
            </w:pPr>
            <w:r>
              <w:rPr>
                <w:rFonts w:hint="eastAsia" w:ascii="仿宋_GB2312" w:hAnsi="宋体" w:eastAsia="仿宋_GB2312"/>
                <w:color w:val="FF0000"/>
                <w:kern w:val="0"/>
                <w:highlight w:val="none"/>
                <w:lang w:val="en-US" w:eastAsia="zh-CN"/>
              </w:rPr>
              <w:t>基本相符</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FF0000"/>
                <w:kern w:val="0"/>
                <w:highlight w:val="none"/>
                <w:lang w:val="en-US" w:eastAsia="zh-CN"/>
              </w:rPr>
              <w:t>基本相符</w:t>
            </w:r>
          </w:p>
        </w:tc>
        <w:tc>
          <w:tcPr>
            <w:tcW w:w="959" w:type="dxa"/>
            <w:gridSpan w:val="2"/>
            <w:tcMar>
              <w:left w:w="57" w:type="dxa"/>
              <w:right w:w="57" w:type="dxa"/>
            </w:tcMar>
            <w:vAlign w:val="center"/>
          </w:tcPr>
          <w:p>
            <w:pPr>
              <w:widowControl/>
              <w:snapToGrid w:val="0"/>
              <w:jc w:val="center"/>
            </w:pPr>
            <w:r>
              <w:rPr>
                <w:rFonts w:hint="eastAsia" w:ascii="仿宋_GB2312" w:hAnsi="宋体" w:eastAsia="仿宋_GB2312"/>
                <w:color w:val="FF0000"/>
                <w:kern w:val="0"/>
                <w:highlight w:val="none"/>
                <w:lang w:val="en-US" w:eastAsia="zh-CN"/>
              </w:rPr>
              <w:t>基本相符</w:t>
            </w:r>
          </w:p>
        </w:tc>
        <w:tc>
          <w:tcPr>
            <w:tcW w:w="528" w:type="dxa"/>
            <w:gridSpan w:val="2"/>
            <w:tcMar>
              <w:left w:w="57" w:type="dxa"/>
              <w:right w:w="57" w:type="dxa"/>
            </w:tcMar>
            <w:vAlign w:val="center"/>
          </w:tcPr>
          <w:p>
            <w:pPr>
              <w:widowControl/>
              <w:snapToGrid w:val="0"/>
              <w:jc w:val="cente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651" w:type="dxa"/>
            <w:gridSpan w:val="3"/>
            <w:tcBorders>
              <w:righ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882" w:type="dxa"/>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59" w:type="dxa"/>
            <w:gridSpan w:val="2"/>
            <w:tcBorders>
              <w:left w:val="nil"/>
            </w:tcBorders>
            <w:tcMar>
              <w:left w:w="57" w:type="dxa"/>
              <w:right w:w="57" w:type="dxa"/>
            </w:tcMar>
            <w:vAlign w:val="center"/>
          </w:tcPr>
          <w:p>
            <w:pPr>
              <w:widowControl/>
              <w:snapToGrid w:val="0"/>
              <w:jc w:val="center"/>
            </w:pPr>
            <w:r>
              <w:rPr>
                <w:rFonts w:hint="eastAsia" w:ascii="仿宋_GB2312" w:hAnsi="宋体" w:eastAsia="仿宋_GB2312"/>
                <w:color w:val="FF0000"/>
                <w:kern w:val="0"/>
                <w:highlight w:val="none"/>
                <w:lang w:val="en-US" w:eastAsia="zh-CN"/>
              </w:rPr>
              <w:t>基本健全</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预算编制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相对科学</w:t>
            </w:r>
          </w:p>
        </w:tc>
        <w:tc>
          <w:tcPr>
            <w:tcW w:w="882" w:type="dxa"/>
            <w:tcMar>
              <w:left w:w="57" w:type="dxa"/>
              <w:right w:w="57" w:type="dxa"/>
            </w:tcMar>
            <w:vAlign w:val="center"/>
          </w:tcPr>
          <w:p>
            <w:pPr>
              <w:widowControl/>
              <w:snapToGrid w:val="0"/>
              <w:jc w:val="center"/>
            </w:pPr>
            <w:r>
              <w:rPr>
                <w:rFonts w:hint="eastAsia" w:ascii="仿宋_GB2312" w:hAnsi="宋体" w:eastAsia="仿宋_GB2312"/>
                <w:color w:val="FF0000"/>
                <w:kern w:val="0"/>
                <w:highlight w:val="none"/>
                <w:lang w:val="en-US" w:eastAsia="zh-CN"/>
              </w:rPr>
              <w:t>相对科学</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相对科学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FF0000"/>
                <w:kern w:val="0"/>
                <w:highlight w:val="none"/>
                <w:lang w:val="en-US" w:eastAsia="zh-CN"/>
              </w:rPr>
              <w:t>基本合理</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FF0000"/>
                <w:kern w:val="0"/>
                <w:highlight w:val="none"/>
                <w:lang w:val="en-US" w:eastAsia="zh-CN"/>
              </w:rPr>
              <w:t>基本合理</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基本合理</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514" w:type="dxa"/>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≤3%</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≤3%</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≤3%</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预算执行</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olor w:val="auto"/>
                <w:kern w:val="0"/>
                <w:highlight w:val="none"/>
              </w:rPr>
              <w:t>预算执行率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≥93%</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olor w:val="auto"/>
                <w:kern w:val="0"/>
                <w:highlight w:val="none"/>
              </w:rPr>
              <w:t>结转结余率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≤3%</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≥91%</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≥91%</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≥91%</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基本合理</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基本合理</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基本合理</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≥93%</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≥93%</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≥93%</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≥92%</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≥92%</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≥92%</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基本合规</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基本合规</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基本合规</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bookmarkStart w:id="0" w:name="_GoBack" w:colFirst="5" w:colLast="6"/>
          </w:p>
        </w:tc>
        <w:tc>
          <w:tcPr>
            <w:tcW w:w="79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527"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促进本乡镇就业人数</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≥5000人</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≥5000人</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≥5000人</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社会效应</w:t>
            </w:r>
          </w:p>
        </w:tc>
        <w:tc>
          <w:tcPr>
            <w:tcW w:w="1527"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带动本地经济发展带来的效益</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≥5000万元</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≥5000万元</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≥5000万元</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可持续发展能力</w:t>
            </w: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每月开展集中学习理论知识活动</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每月开展集中学习理论知识活动</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每月开展集中学习理论知识活动</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91%</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基本达标</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基本达标</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基本达标</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527"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w:t>
            </w:r>
          </w:p>
        </w:tc>
        <w:tc>
          <w:tcPr>
            <w:tcW w:w="65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92%</w:t>
            </w:r>
          </w:p>
        </w:tc>
        <w:tc>
          <w:tcPr>
            <w:tcW w:w="882"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92%</w:t>
            </w:r>
          </w:p>
        </w:tc>
        <w:tc>
          <w:tcPr>
            <w:tcW w:w="95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92%</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21"/>
                <w:szCs w:val="21"/>
                <w:highlight w:val="none"/>
              </w:rPr>
              <w:t>绩效基本型</w:t>
            </w:r>
          </w:p>
        </w:tc>
      </w:tr>
    </w:tbl>
    <w:p>
      <w:pPr>
        <w:spacing w:line="600" w:lineRule="exact"/>
        <w:ind w:firstLine="640" w:firstLineChars="200"/>
        <w:rPr>
          <w:rFonts w:hint="eastAsia" w:ascii="黑体" w:hAnsi="黑体" w:eastAsia="黑体" w:cs="黑体"/>
          <w:color w:val="auto"/>
          <w:sz w:val="32"/>
          <w:szCs w:val="32"/>
          <w:highlight w:val="none"/>
        </w:rPr>
      </w:pPr>
    </w:p>
    <w:p>
      <w:pPr>
        <w:spacing w:line="600" w:lineRule="exact"/>
        <w:jc w:val="center"/>
        <w:rPr>
          <w:rFonts w:ascii="方正小标宋简体" w:hAnsi="宋体" w:eastAsia="方正小标宋简体"/>
          <w:sz w:val="32"/>
          <w:szCs w:val="32"/>
        </w:rPr>
      </w:pPr>
      <w:r>
        <w:rPr>
          <w:rFonts w:hint="eastAsia" w:ascii="方正小标宋简体" w:hAnsi="宋体" w:eastAsia="方正小标宋简体" w:cs="方正小标宋简体"/>
          <w:sz w:val="32"/>
          <w:szCs w:val="32"/>
        </w:rPr>
        <w:t>部门整体绩效目标申报表内容说明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黑体" w:hAnsi="黑体" w:eastAsia="黑体"/>
          <w:sz w:val="28"/>
          <w:szCs w:val="28"/>
        </w:rPr>
      </w:pPr>
      <w:r>
        <w:rPr>
          <w:rFonts w:hint="eastAsia" w:ascii="黑体" w:hAnsi="黑体" w:eastAsia="黑体" w:cs="黑体"/>
          <w:sz w:val="28"/>
          <w:szCs w:val="28"/>
        </w:rPr>
        <w:t>一、适用范围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rPr>
        <w:t>本表适用于</w:t>
      </w:r>
      <w:r>
        <w:rPr>
          <w:rFonts w:hint="eastAsia" w:ascii="仿宋_GB2312" w:eastAsia="仿宋_GB2312" w:cs="仿宋_GB2312"/>
          <w:color w:val="auto"/>
          <w:sz w:val="28"/>
          <w:szCs w:val="28"/>
          <w:highlight w:val="none"/>
          <w:lang w:eastAsia="zh-CN"/>
        </w:rPr>
        <w:t>市</w:t>
      </w:r>
      <w:r>
        <w:rPr>
          <w:rFonts w:hint="eastAsia" w:ascii="仿宋_GB2312" w:eastAsia="仿宋_GB2312" w:cs="仿宋_GB2312"/>
          <w:color w:val="auto"/>
          <w:sz w:val="28"/>
          <w:szCs w:val="28"/>
          <w:highlight w:val="none"/>
        </w:rPr>
        <w:t>直部门在申报部门整体绩效目标时填报，作为部门整体绩效目标审核和批复、部门整体绩效评价等工作的主要依据。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黑体" w:hAnsi="黑体" w:eastAsia="黑体"/>
          <w:sz w:val="28"/>
          <w:szCs w:val="28"/>
        </w:rPr>
      </w:pPr>
      <w:r>
        <w:rPr>
          <w:rFonts w:hint="eastAsia" w:ascii="黑体" w:hAnsi="黑体" w:eastAsia="黑体" w:cs="黑体"/>
          <w:sz w:val="28"/>
          <w:szCs w:val="28"/>
        </w:rPr>
        <w:t>二、填报说明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1.</w:t>
      </w:r>
      <w:r>
        <w:rPr>
          <w:rFonts w:hint="eastAsia" w:ascii="仿宋_GB2312" w:eastAsia="仿宋_GB2312" w:cs="仿宋_GB2312"/>
          <w:color w:val="auto"/>
          <w:sz w:val="28"/>
          <w:szCs w:val="28"/>
          <w:highlight w:val="none"/>
        </w:rPr>
        <w:t>部门（单位）名称：填写填报本表的</w:t>
      </w:r>
      <w:r>
        <w:rPr>
          <w:rFonts w:hint="eastAsia" w:ascii="仿宋_GB2312" w:eastAsia="仿宋_GB2312" w:cs="仿宋_GB2312"/>
          <w:color w:val="auto"/>
          <w:sz w:val="28"/>
          <w:szCs w:val="28"/>
          <w:highlight w:val="none"/>
          <w:lang w:eastAsia="zh-CN"/>
        </w:rPr>
        <w:t>市直</w:t>
      </w:r>
      <w:r>
        <w:rPr>
          <w:rFonts w:hint="eastAsia" w:ascii="仿宋_GB2312" w:eastAsia="仿宋_GB2312" w:cs="仿宋_GB2312"/>
          <w:color w:val="auto"/>
          <w:sz w:val="28"/>
          <w:szCs w:val="28"/>
          <w:highlight w:val="none"/>
        </w:rPr>
        <w:t>部门全称。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2.</w:t>
      </w:r>
      <w:r>
        <w:rPr>
          <w:rFonts w:hint="eastAsia" w:ascii="仿宋_GB2312" w:eastAsia="仿宋_GB2312" w:cs="仿宋_GB2312"/>
          <w:color w:val="auto"/>
          <w:sz w:val="28"/>
          <w:szCs w:val="28"/>
          <w:highlight w:val="none"/>
        </w:rPr>
        <w:t>部门职能：填写部门主要职能。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3.</w:t>
      </w:r>
      <w:r>
        <w:rPr>
          <w:rFonts w:hint="eastAsia" w:ascii="仿宋_GB2312" w:eastAsia="仿宋_GB2312" w:cs="仿宋_GB2312"/>
          <w:color w:val="auto"/>
          <w:sz w:val="28"/>
          <w:szCs w:val="28"/>
          <w:highlight w:val="none"/>
        </w:rPr>
        <w:t>年度工作任务：填写根据部门主要职责和工作计划确定的本年度主要工作任务。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4.</w:t>
      </w:r>
      <w:r>
        <w:rPr>
          <w:rFonts w:hint="eastAsia" w:ascii="仿宋_GB2312" w:eastAsia="仿宋_GB2312" w:cs="仿宋_GB2312"/>
          <w:color w:val="auto"/>
          <w:sz w:val="28"/>
          <w:szCs w:val="28"/>
          <w:highlight w:val="none"/>
        </w:rPr>
        <w:t>长期目标：描述本部门在三年内通过履行部门职责所达到的部门整体及核心业务效果</w:t>
      </w:r>
      <w:r>
        <w:rPr>
          <w:rFonts w:hint="eastAsia" w:ascii="仿宋_GB2312" w:eastAsia="仿宋_GB2312" w:cs="仿宋_GB2312"/>
          <w:color w:val="auto"/>
          <w:sz w:val="28"/>
          <w:szCs w:val="28"/>
          <w:highlight w:val="none"/>
          <w:lang w:eastAsia="zh-CN"/>
        </w:rPr>
        <w:t>，</w:t>
      </w:r>
      <w:r>
        <w:rPr>
          <w:rFonts w:hint="eastAsia" w:ascii="仿宋_GB2312" w:eastAsia="仿宋_GB2312" w:cs="仿宋_GB2312"/>
          <w:color w:val="auto"/>
          <w:sz w:val="28"/>
          <w:szCs w:val="28"/>
          <w:highlight w:val="none"/>
        </w:rPr>
        <w:t>并以相应的绩效指标予以细化、量化描述。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5.</w:t>
      </w:r>
      <w:r>
        <w:rPr>
          <w:rFonts w:hint="eastAsia" w:ascii="仿宋_GB2312" w:eastAsia="仿宋_GB2312" w:cs="仿宋_GB2312"/>
          <w:color w:val="auto"/>
          <w:sz w:val="28"/>
          <w:szCs w:val="28"/>
          <w:highlight w:val="none"/>
        </w:rPr>
        <w:t>长期绩效指标：主要包括运行成本、管理效率、履职效能、社会效应、可持续发展能力和满意度等六个一级指标，每一类一级指标细分为若干二级指标、三级指标，三级指标对应具体的指标值。</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6.</w:t>
      </w:r>
      <w:r>
        <w:rPr>
          <w:rFonts w:hint="eastAsia" w:ascii="仿宋_GB2312" w:eastAsia="仿宋_GB2312" w:cs="仿宋_GB2312"/>
          <w:color w:val="auto"/>
          <w:sz w:val="28"/>
          <w:szCs w:val="28"/>
          <w:highlight w:val="none"/>
        </w:rPr>
        <w:t>年度目标：描述本部门在本年度内通过履行部门职责所达到的部门整体及核心业务效果。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7.</w:t>
      </w:r>
      <w:r>
        <w:rPr>
          <w:rFonts w:hint="eastAsia" w:ascii="仿宋_GB2312" w:eastAsia="仿宋_GB2312" w:cs="仿宋_GB2312"/>
          <w:color w:val="auto"/>
          <w:sz w:val="28"/>
          <w:szCs w:val="28"/>
          <w:highlight w:val="none"/>
        </w:rPr>
        <w:t>年度绩效指标参照长期绩效指标填报。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8.</w:t>
      </w:r>
      <w:r>
        <w:rPr>
          <w:rFonts w:hint="eastAsia" w:ascii="仿宋_GB2312" w:eastAsia="仿宋_GB2312" w:cs="仿宋_GB2312"/>
          <w:color w:val="auto"/>
          <w:sz w:val="28"/>
          <w:szCs w:val="28"/>
          <w:highlight w:val="none"/>
        </w:rPr>
        <w:t>指标值确定依据。通过收集相关基础数据，明确指标值确定依据，主要包括计划标准、行业标准、历史标准、预算支出标准或其他标准。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olor w:val="auto"/>
          <w:sz w:val="28"/>
          <w:szCs w:val="28"/>
          <w:highlight w:val="none"/>
        </w:rPr>
      </w:pPr>
      <w:r>
        <w:rPr>
          <w:rFonts w:hint="eastAsia" w:ascii="仿宋_GB2312" w:eastAsia="仿宋_GB2312" w:cs="仿宋_GB2312"/>
          <w:color w:val="auto"/>
          <w:sz w:val="28"/>
          <w:szCs w:val="28"/>
          <w:highlight w:val="none"/>
          <w:lang w:val="en-US" w:eastAsia="zh-CN"/>
        </w:rPr>
        <w:t>9.</w:t>
      </w:r>
      <w:r>
        <w:rPr>
          <w:rFonts w:hint="eastAsia" w:ascii="仿宋_GB2312" w:eastAsia="仿宋_GB2312" w:cs="仿宋_GB2312"/>
          <w:color w:val="auto"/>
          <w:sz w:val="28"/>
          <w:szCs w:val="28"/>
          <w:highlight w:val="none"/>
        </w:rPr>
        <w:t>指标分类。按照绩效提升与创新程度将整体绩效目标分为绩效基本型、绩效创新型指标</w:t>
      </w:r>
      <w:r>
        <w:rPr>
          <w:rFonts w:hint="eastAsia" w:ascii="仿宋_GB2312" w:eastAsia="仿宋_GB2312" w:cs="仿宋_GB2312"/>
          <w:color w:val="auto"/>
          <w:sz w:val="28"/>
          <w:szCs w:val="28"/>
          <w:highlight w:val="none"/>
          <w:lang w:eastAsia="zh-CN"/>
        </w:rPr>
        <w:t>。</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5YTNlMjlmYjI1MTQ0ZjQ3MTc4MWM1YjAzN2IzZmUifQ=="/>
  </w:docVars>
  <w:rsids>
    <w:rsidRoot w:val="2C365954"/>
    <w:rsid w:val="04390EE3"/>
    <w:rsid w:val="0CD90EE9"/>
    <w:rsid w:val="0FB73D2F"/>
    <w:rsid w:val="10515328"/>
    <w:rsid w:val="13511DA5"/>
    <w:rsid w:val="1CA22253"/>
    <w:rsid w:val="1E83119C"/>
    <w:rsid w:val="212C2F24"/>
    <w:rsid w:val="2A5E5F74"/>
    <w:rsid w:val="2C365954"/>
    <w:rsid w:val="30240E53"/>
    <w:rsid w:val="345D45F6"/>
    <w:rsid w:val="364D0D4A"/>
    <w:rsid w:val="37EA17DA"/>
    <w:rsid w:val="388B350E"/>
    <w:rsid w:val="3B2B6898"/>
    <w:rsid w:val="3B9D352A"/>
    <w:rsid w:val="3D373D4E"/>
    <w:rsid w:val="3EA20F56"/>
    <w:rsid w:val="4A5F5A11"/>
    <w:rsid w:val="4DE72856"/>
    <w:rsid w:val="4EC2357B"/>
    <w:rsid w:val="620D46B6"/>
    <w:rsid w:val="6AC63F9C"/>
    <w:rsid w:val="6D21195D"/>
    <w:rsid w:val="6F152DFC"/>
    <w:rsid w:val="70D311C0"/>
    <w:rsid w:val="72A42E14"/>
    <w:rsid w:val="7B3F192C"/>
    <w:rsid w:val="7B9A7BAE"/>
    <w:rsid w:val="7D6438CC"/>
    <w:rsid w:val="7F970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spacing w:before="240" w:after="60"/>
      <w:jc w:val="center"/>
      <w:outlineLvl w:val="0"/>
    </w:pPr>
    <w:rPr>
      <w:rFonts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2024-01-24T07:26:00Z</dcterms:created>
  <dc:creator>倒亚指芭绦</dc:creator>
  <cp:lastModifiedBy>。。。</cp:lastModifiedBy>
  <cp:lastPrinted>2024-01-24T08:44:00Z</cp:lastPrinted>
  <dcterms:modified xsi:type="dcterms:W3CDTF">2024-04-03T07:19:18Z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B9FD5BDAAC8E4E42B05DEB325E45D9B3_13</vt:lpwstr>
  </property>
</Properties>
</file>