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填报日期：       年     月     日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794"/>
        <w:gridCol w:w="29"/>
        <w:gridCol w:w="1106"/>
        <w:gridCol w:w="975"/>
        <w:gridCol w:w="1253"/>
        <w:gridCol w:w="566"/>
        <w:gridCol w:w="13"/>
        <w:gridCol w:w="783"/>
        <w:gridCol w:w="29"/>
        <w:gridCol w:w="930"/>
        <w:gridCol w:w="24"/>
        <w:gridCol w:w="50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eastAsia="zh-CN"/>
              </w:rPr>
              <w:t>沙窝乡</w:t>
            </w:r>
            <w:r>
              <w:rPr>
                <w:rFonts w:hint="eastAsia" w:ascii="仿宋_GB2312" w:hAnsi="宋体" w:eastAsia="仿宋_GB2312"/>
                <w:color w:val="auto"/>
                <w:kern w:val="0"/>
                <w:highlight w:val="none"/>
                <w:lang w:val="en-US" w:eastAsia="zh-CN"/>
              </w:rPr>
              <w:t>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192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邵敏</w:t>
            </w:r>
            <w:r>
              <w:rPr>
                <w:rFonts w:hint="eastAsia" w:ascii="仿宋_GB2312" w:hAnsi="宋体" w:eastAsia="仿宋_GB2312"/>
                <w:color w:val="auto"/>
                <w:kern w:val="0"/>
                <w:highlight w:val="none"/>
              </w:rPr>
              <w:t>　</w:t>
            </w:r>
          </w:p>
        </w:tc>
        <w:tc>
          <w:tcPr>
            <w:tcW w:w="975"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616" w:type="dxa"/>
            <w:gridSpan w:val="9"/>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15827232440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2904"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253" w:type="dxa"/>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1391"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904"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253" w:type="dxa"/>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391"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2924.88 </w:t>
            </w: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2989.08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 xml:space="preserve">3600.41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xml:space="preserve">2924.88 </w:t>
            </w: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2989.08  </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 xml:space="preserve">3600.41 </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2676.64</w:t>
            </w: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91.51%</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2585.82</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3108.53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248.24</w:t>
            </w: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8.49%</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403.26</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491.88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081"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253"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2924.88</w:t>
            </w:r>
          </w:p>
        </w:tc>
        <w:tc>
          <w:tcPr>
            <w:tcW w:w="139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2989.08</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3600.41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ind w:firstLine="105" w:firstLineChars="50"/>
              <w:jc w:val="both"/>
              <w:rPr>
                <w:rFonts w:ascii="仿宋_GB2312" w:hAnsi="宋体" w:eastAsia="仿宋_GB2312"/>
                <w:color w:val="auto"/>
                <w:kern w:val="0"/>
                <w:highlight w:val="none"/>
              </w:rPr>
            </w:pPr>
            <w:r>
              <w:rPr>
                <w:rFonts w:hint="eastAsia" w:ascii="仿宋_GB2312" w:hAnsi="宋体" w:eastAsia="仿宋_GB2312"/>
                <w:color w:val="auto"/>
                <w:kern w:val="0"/>
                <w:highlight w:val="none"/>
              </w:rPr>
              <w:t>1.</w:t>
            </w:r>
            <w:r>
              <w:rPr>
                <w:rFonts w:hint="eastAsia" w:ascii="仿宋_GB2312" w:hAnsi="宋体" w:eastAsia="仿宋_GB2312"/>
                <w:color w:val="auto"/>
                <w:kern w:val="0"/>
                <w:highlight w:val="none"/>
                <w:u w:val="single"/>
              </w:rPr>
              <w:t xml:space="preserve">负责本乡镇辖区内中学、小学、幼儿园的德育、教学、教研、后勤等管理事务 </w:t>
            </w:r>
            <w:r>
              <w:rPr>
                <w:rFonts w:hint="eastAsia" w:ascii="仿宋_GB2312" w:hAnsi="宋体" w:eastAsia="仿宋_GB2312"/>
                <w:color w:val="auto"/>
                <w:kern w:val="0"/>
                <w:highlight w:val="none"/>
              </w:rPr>
              <w:t>；</w:t>
            </w:r>
          </w:p>
          <w:p>
            <w:pPr>
              <w:widowControl/>
              <w:snapToGrid w:val="0"/>
              <w:ind w:left="0" w:leftChars="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2.</w:t>
            </w:r>
            <w:r>
              <w:rPr>
                <w:rFonts w:hint="eastAsia" w:ascii="仿宋_GB2312" w:hAnsi="宋体" w:eastAsia="仿宋_GB2312"/>
                <w:color w:val="auto"/>
                <w:kern w:val="0"/>
                <w:highlight w:val="none"/>
                <w:u w:val="single"/>
              </w:rPr>
              <w:t>钻研拟定全镇教育开展战略和教育工作的规定、方法，监督和检查所属学校对党和国家的教育方针、政策、法规的贯彻执行</w:t>
            </w:r>
            <w:r>
              <w:rPr>
                <w:rFonts w:hint="eastAsia" w:ascii="仿宋_GB2312" w:hAnsi="宋体" w:eastAsia="仿宋_GB2312"/>
                <w:color w:val="auto"/>
                <w:kern w:val="0"/>
                <w:highlight w:val="none"/>
              </w:rPr>
              <w:t>；</w:t>
            </w:r>
          </w:p>
          <w:p>
            <w:pPr>
              <w:widowControl/>
              <w:snapToGrid w:val="0"/>
              <w:jc w:val="left"/>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rPr>
              <w:t>3.</w:t>
            </w:r>
            <w:r>
              <w:rPr>
                <w:rFonts w:hint="eastAsia" w:ascii="仿宋_GB2312" w:hAnsi="宋体" w:eastAsia="仿宋_GB2312"/>
                <w:color w:val="auto"/>
                <w:kern w:val="0"/>
                <w:highlight w:val="none"/>
                <w:u w:val="single"/>
              </w:rPr>
              <w:t xml:space="preserve"> 管理和指导全镇教育教学钻研工作</w:t>
            </w:r>
            <w:r>
              <w:rPr>
                <w:rFonts w:hint="eastAsia" w:ascii="仿宋_GB2312" w:hAnsi="宋体" w:eastAsia="仿宋_GB2312"/>
                <w:color w:val="auto"/>
                <w:kern w:val="0"/>
                <w:highlight w:val="none"/>
                <w:lang w:eastAsia="zh-CN"/>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rPr>
              <w:t>注重理论学习，努力增强党性观念，提高思想政治素质;积极参加上级各部门举办的各类培训。身体力行，激发自己的政治责任感</w:t>
            </w:r>
            <w:r>
              <w:rPr>
                <w:rFonts w:hint="eastAsia" w:ascii="仿宋_GB2312" w:hAnsi="宋体" w:eastAsia="仿宋_GB2312"/>
                <w:color w:val="auto"/>
                <w:kern w:val="0"/>
                <w:highlight w:val="none"/>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lang w:eastAsia="zh-CN"/>
              </w:rPr>
              <w:t>加强课题研究</w:t>
            </w:r>
            <w:r>
              <w:rPr>
                <w:rFonts w:hint="eastAsia" w:ascii="仿宋_GB2312" w:hAnsi="宋体" w:eastAsia="仿宋_GB2312"/>
                <w:color w:val="auto"/>
                <w:kern w:val="0"/>
                <w:highlight w:val="none"/>
              </w:rPr>
              <w:t>；</w:t>
            </w:r>
          </w:p>
          <w:p>
            <w:pPr>
              <w:widowControl/>
              <w:snapToGrid w:val="0"/>
              <w:jc w:val="left"/>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lang w:eastAsia="zh-CN"/>
              </w:rPr>
              <w:t>做好教学研究工作</w:t>
            </w:r>
            <w:r>
              <w:rPr>
                <w:rFonts w:hint="eastAsia" w:ascii="仿宋_GB2312" w:hAnsi="宋体" w:eastAsia="仿宋_GB2312"/>
                <w:color w:val="auto"/>
                <w:kern w:val="0"/>
                <w:highlight w:val="none"/>
                <w:lang w:eastAsia="zh-CN"/>
              </w:rPr>
              <w:t>。</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2025</w:t>
            </w:r>
            <w:r>
              <w:rPr>
                <w:rFonts w:hint="eastAsia" w:ascii="仿宋_GB2312" w:hAnsi="宋体" w:eastAsia="仿宋_GB2312" w:cs="仿宋_GB2312"/>
                <w:color w:val="auto"/>
                <w:kern w:val="0"/>
                <w:highlight w:val="none"/>
              </w:rPr>
              <w:t>年）</w:t>
            </w:r>
          </w:p>
        </w:tc>
        <w:tc>
          <w:tcPr>
            <w:tcW w:w="7520" w:type="dxa"/>
            <w:gridSpan w:val="13"/>
            <w:tcMar>
              <w:left w:w="57" w:type="dxa"/>
              <w:right w:w="57" w:type="dxa"/>
            </w:tcMar>
            <w:vAlign w:val="center"/>
          </w:tcPr>
          <w:p>
            <w:pPr>
              <w:widowControl/>
              <w:snapToGrid w:val="0"/>
              <w:jc w:val="left"/>
              <w:rPr>
                <w:rFonts w:hint="eastAsia" w:ascii="仿宋_GB2312" w:hAnsi="宋体" w:eastAsia="仿宋_GB2312"/>
                <w:color w:val="auto"/>
                <w:kern w:val="0"/>
                <w:highlight w:val="none"/>
                <w:lang w:eastAsia="zh-CN"/>
              </w:rPr>
            </w:pPr>
            <w:r>
              <w:rPr>
                <w:rFonts w:hint="eastAsia" w:ascii="仿宋_GB2312" w:hAnsi="宋体" w:eastAsia="仿宋_GB2312" w:cs="仿宋_GB2312"/>
                <w:color w:val="auto"/>
                <w:kern w:val="0"/>
                <w:highlight w:val="none"/>
              </w:rPr>
              <w:t>　</w:t>
            </w:r>
            <w:r>
              <w:rPr>
                <w:rFonts w:hint="eastAsia" w:ascii="仿宋_GB2312" w:hAnsi="宋体" w:eastAsia="仿宋_GB2312" w:cs="仿宋_GB2312"/>
                <w:color w:val="auto"/>
                <w:kern w:val="0"/>
                <w:highlight w:val="none"/>
                <w:lang w:eastAsia="zh-CN"/>
              </w:rPr>
              <w:t>做好</w:t>
            </w:r>
            <w:r>
              <w:rPr>
                <w:rFonts w:hint="eastAsia" w:ascii="仿宋_GB2312" w:hAnsi="宋体" w:eastAsia="仿宋_GB2312" w:cs="仿宋_GB2312"/>
                <w:color w:val="auto"/>
                <w:kern w:val="0"/>
                <w:highlight w:val="none"/>
              </w:rPr>
              <w:t>本乡镇辖区内中学、小学、幼儿园的德育、教学、教研、后勤等</w:t>
            </w:r>
            <w:r>
              <w:rPr>
                <w:rFonts w:hint="eastAsia" w:ascii="仿宋_GB2312" w:hAnsi="宋体" w:eastAsia="仿宋_GB2312" w:cs="仿宋_GB2312"/>
                <w:color w:val="auto"/>
                <w:kern w:val="0"/>
                <w:highlight w:val="none"/>
                <w:lang w:eastAsia="zh-CN"/>
              </w:rPr>
              <w:t>各项</w:t>
            </w:r>
            <w:r>
              <w:rPr>
                <w:rFonts w:hint="eastAsia" w:ascii="仿宋_GB2312" w:hAnsi="宋体" w:eastAsia="仿宋_GB2312" w:cs="仿宋_GB2312"/>
                <w:color w:val="auto"/>
                <w:kern w:val="0"/>
                <w:highlight w:val="none"/>
              </w:rPr>
              <w:t>事务</w:t>
            </w:r>
            <w:r>
              <w:rPr>
                <w:rFonts w:hint="eastAsia" w:ascii="仿宋_GB2312" w:hAnsi="宋体" w:eastAsia="仿宋_GB2312" w:cs="仿宋_GB2312"/>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211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211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16"/>
                <w:szCs w:val="18"/>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253"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2110"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基本相符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相对科学</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≥95%</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≥91%</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基本合理</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≥93%</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≥92%</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基本规范</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8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教学制度的健全性</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基本健全</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253"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在校学生人数</w:t>
            </w:r>
          </w:p>
        </w:tc>
        <w:tc>
          <w:tcPr>
            <w:tcW w:w="1362"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≥1000人</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可持续发展能力</w:t>
            </w:r>
          </w:p>
        </w:tc>
        <w:tc>
          <w:tcPr>
            <w:tcW w:w="2110"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=100%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每月开展集中学习理论知识活动</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362"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85%</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362"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基本达标</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362"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362"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8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428" w:type="dxa"/>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520" w:type="dxa"/>
            <w:gridSpan w:val="13"/>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　</w:t>
            </w:r>
            <w:r>
              <w:rPr>
                <w:rFonts w:hint="eastAsia" w:ascii="仿宋_GB2312" w:hAnsi="宋体" w:eastAsia="仿宋_GB2312" w:cs="仿宋_GB2312"/>
                <w:color w:val="auto"/>
                <w:kern w:val="0"/>
                <w:highlight w:val="none"/>
                <w:lang w:eastAsia="zh-CN"/>
              </w:rPr>
              <w:t>做好</w:t>
            </w:r>
            <w:r>
              <w:rPr>
                <w:rFonts w:hint="eastAsia" w:ascii="仿宋_GB2312" w:hAnsi="宋体" w:eastAsia="仿宋_GB2312" w:cs="仿宋_GB2312"/>
                <w:color w:val="auto"/>
                <w:kern w:val="0"/>
                <w:highlight w:val="none"/>
              </w:rPr>
              <w:t>本乡镇辖区内中学、小学、幼儿园的德育、教学、教研、后勤等</w:t>
            </w:r>
            <w:r>
              <w:rPr>
                <w:rFonts w:hint="eastAsia" w:ascii="仿宋_GB2312" w:hAnsi="宋体" w:eastAsia="仿宋_GB2312" w:cs="仿宋_GB2312"/>
                <w:color w:val="auto"/>
                <w:kern w:val="0"/>
                <w:highlight w:val="none"/>
                <w:lang w:eastAsia="zh-CN"/>
              </w:rPr>
              <w:t>各项</w:t>
            </w:r>
            <w:r>
              <w:rPr>
                <w:rFonts w:hint="eastAsia" w:ascii="仿宋_GB2312" w:hAnsi="宋体" w:eastAsia="仿宋_GB2312" w:cs="仿宋_GB2312"/>
                <w:color w:val="auto"/>
                <w:kern w:val="0"/>
                <w:highlight w:val="none"/>
              </w:rPr>
              <w:t>事务</w:t>
            </w:r>
            <w:r>
              <w:rPr>
                <w:rFonts w:hint="eastAsia" w:ascii="仿宋_GB2312" w:hAnsi="宋体" w:eastAsia="仿宋_GB2312" w:cs="仿宋_GB2312"/>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2110"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253"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566"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755" w:type="dxa"/>
            <w:gridSpan w:val="4"/>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62"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7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28"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211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16"/>
                <w:szCs w:val="18"/>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253"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783" w:type="dxa"/>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2110"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基本相符</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相对科学</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相对科学</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相对科学</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基本合理</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≤3%</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≤3%</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≤3%</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≥95%</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≥95%</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≥91%</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≥91%</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≥91%</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基本合理</w:t>
            </w:r>
          </w:p>
        </w:tc>
        <w:tc>
          <w:tcPr>
            <w:tcW w:w="783" w:type="dxa"/>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基本合理</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基本合理</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≥93%</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≥93%</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≥93%</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≥92%</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≥92%</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≥92%</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57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783"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57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783"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57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783"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57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783"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基本规范</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57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基本合规</w:t>
            </w:r>
          </w:p>
        </w:tc>
        <w:tc>
          <w:tcPr>
            <w:tcW w:w="783"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基本合规</w:t>
            </w:r>
          </w:p>
        </w:tc>
        <w:tc>
          <w:tcPr>
            <w:tcW w:w="528"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教学制度的健全性</w:t>
            </w:r>
          </w:p>
        </w:tc>
        <w:tc>
          <w:tcPr>
            <w:tcW w:w="579"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基本健全</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基本健全</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社会效应</w:t>
            </w: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在校学生人数</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≥1000人</w:t>
            </w:r>
          </w:p>
        </w:tc>
        <w:tc>
          <w:tcPr>
            <w:tcW w:w="783" w:type="dxa"/>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≥1000人</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≥1000人</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可持续发展能力</w:t>
            </w:r>
          </w:p>
        </w:tc>
        <w:tc>
          <w:tcPr>
            <w:tcW w:w="2110"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=100%</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每月开展集中学习理论知识活动</w:t>
            </w:r>
          </w:p>
        </w:tc>
        <w:tc>
          <w:tcPr>
            <w:tcW w:w="783" w:type="dxa"/>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每月开展集中学习理论知识活动</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每月开展集中学习理论知识活动</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57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85%</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85%</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57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基本达标</w:t>
            </w:r>
          </w:p>
        </w:tc>
        <w:tc>
          <w:tcPr>
            <w:tcW w:w="783" w:type="dxa"/>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基本达标</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基本达标</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57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90%</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1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25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57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w:t>
            </w:r>
            <w:r>
              <w:rPr>
                <w:rFonts w:hint="eastAsia" w:ascii="仿宋_GB2312" w:hAnsi="宋体" w:eastAsia="仿宋_GB2312" w:cs="仿宋_GB2312"/>
                <w:color w:val="auto"/>
                <w:kern w:val="0"/>
                <w:highlight w:val="none"/>
                <w:lang w:val="en-US" w:eastAsia="zh-CN"/>
              </w:rPr>
              <w:t>92%</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eastAsia="仿宋_GB2312" w:cs="仿宋_GB2312"/>
                <w:color w:val="auto"/>
                <w:sz w:val="21"/>
                <w:szCs w:val="21"/>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spacing w:line="600" w:lineRule="exact"/>
        <w:jc w:val="center"/>
        <w:rPr>
          <w:rFonts w:ascii="方正小标宋简体" w:hAnsi="宋体" w:eastAsia="方正小标宋简体"/>
          <w:sz w:val="32"/>
          <w:szCs w:val="32"/>
        </w:rPr>
      </w:pPr>
      <w:r>
        <w:rPr>
          <w:rFonts w:hint="eastAsia" w:ascii="方正小标宋简体" w:hAnsi="宋体" w:eastAsia="方正小标宋简体" w:cs="方正小标宋简体"/>
          <w:sz w:val="32"/>
          <w:szCs w:val="32"/>
        </w:rPr>
        <w:t>部门整体绩效目标申报表内容说明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一、适用范围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rPr>
        <w:t>本表适用于</w:t>
      </w:r>
      <w:r>
        <w:rPr>
          <w:rFonts w:hint="eastAsia" w:ascii="仿宋_GB2312" w:eastAsia="仿宋_GB2312" w:cs="仿宋_GB2312"/>
          <w:color w:val="auto"/>
          <w:sz w:val="28"/>
          <w:szCs w:val="28"/>
          <w:highlight w:val="none"/>
          <w:lang w:eastAsia="zh-CN"/>
        </w:rPr>
        <w:t>市</w:t>
      </w:r>
      <w:r>
        <w:rPr>
          <w:rFonts w:hint="eastAsia" w:ascii="仿宋_GB2312" w:eastAsia="仿宋_GB2312" w:cs="仿宋_GB2312"/>
          <w:color w:val="auto"/>
          <w:sz w:val="28"/>
          <w:szCs w:val="28"/>
          <w:highlight w:val="none"/>
        </w:rPr>
        <w:t>直部门在申报部门整体绩效目标时填报，作为部门整体绩效目标审核和批复、部门整体绩效评价等工作的主要依据。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二、填报说明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1.</w:t>
      </w:r>
      <w:r>
        <w:rPr>
          <w:rFonts w:hint="eastAsia" w:ascii="仿宋_GB2312" w:eastAsia="仿宋_GB2312" w:cs="仿宋_GB2312"/>
          <w:color w:val="auto"/>
          <w:sz w:val="28"/>
          <w:szCs w:val="28"/>
          <w:highlight w:val="none"/>
        </w:rPr>
        <w:t>部门（单位）名称：填写填报本表的</w:t>
      </w:r>
      <w:r>
        <w:rPr>
          <w:rFonts w:hint="eastAsia" w:ascii="仿宋_GB2312" w:eastAsia="仿宋_GB2312" w:cs="仿宋_GB2312"/>
          <w:color w:val="auto"/>
          <w:sz w:val="28"/>
          <w:szCs w:val="28"/>
          <w:highlight w:val="none"/>
          <w:lang w:eastAsia="zh-CN"/>
        </w:rPr>
        <w:t>市直</w:t>
      </w:r>
      <w:r>
        <w:rPr>
          <w:rFonts w:hint="eastAsia" w:ascii="仿宋_GB2312" w:eastAsia="仿宋_GB2312" w:cs="仿宋_GB2312"/>
          <w:color w:val="auto"/>
          <w:sz w:val="28"/>
          <w:szCs w:val="28"/>
          <w:highlight w:val="none"/>
        </w:rPr>
        <w:t>部门全称。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2.</w:t>
      </w:r>
      <w:r>
        <w:rPr>
          <w:rFonts w:hint="eastAsia" w:ascii="仿宋_GB2312" w:eastAsia="仿宋_GB2312" w:cs="仿宋_GB2312"/>
          <w:color w:val="auto"/>
          <w:sz w:val="28"/>
          <w:szCs w:val="28"/>
          <w:highlight w:val="none"/>
        </w:rPr>
        <w:t>部门职能：填写部门主要职能。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3.</w:t>
      </w:r>
      <w:r>
        <w:rPr>
          <w:rFonts w:hint="eastAsia" w:ascii="仿宋_GB2312" w:eastAsia="仿宋_GB2312" w:cs="仿宋_GB2312"/>
          <w:color w:val="auto"/>
          <w:sz w:val="28"/>
          <w:szCs w:val="28"/>
          <w:highlight w:val="none"/>
        </w:rPr>
        <w:t>年度工作任务：填写根据部门主要职责和工作计划确定的本年度主要工作任务。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4.</w:t>
      </w:r>
      <w:r>
        <w:rPr>
          <w:rFonts w:hint="eastAsia" w:ascii="仿宋_GB2312" w:eastAsia="仿宋_GB2312" w:cs="仿宋_GB2312"/>
          <w:color w:val="auto"/>
          <w:sz w:val="28"/>
          <w:szCs w:val="28"/>
          <w:highlight w:val="none"/>
        </w:rPr>
        <w:t>长期目标：描述本部门在三年内通过履行部门职责所达到的部门整体及核心业务效果</w:t>
      </w:r>
      <w:r>
        <w:rPr>
          <w:rFonts w:hint="eastAsia" w:ascii="仿宋_GB2312" w:eastAsia="仿宋_GB2312" w:cs="仿宋_GB2312"/>
          <w:color w:val="auto"/>
          <w:sz w:val="28"/>
          <w:szCs w:val="28"/>
          <w:highlight w:val="none"/>
          <w:lang w:eastAsia="zh-CN"/>
        </w:rPr>
        <w:t>，</w:t>
      </w:r>
      <w:r>
        <w:rPr>
          <w:rFonts w:hint="eastAsia" w:ascii="仿宋_GB2312" w:eastAsia="仿宋_GB2312" w:cs="仿宋_GB2312"/>
          <w:color w:val="auto"/>
          <w:sz w:val="28"/>
          <w:szCs w:val="28"/>
          <w:highlight w:val="none"/>
        </w:rPr>
        <w:t>并以相应的绩效指标予以细化、量化描述。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5.</w:t>
      </w:r>
      <w:r>
        <w:rPr>
          <w:rFonts w:hint="eastAsia" w:ascii="仿宋_GB2312" w:eastAsia="仿宋_GB2312" w:cs="仿宋_GB2312"/>
          <w:color w:val="auto"/>
          <w:sz w:val="28"/>
          <w:szCs w:val="28"/>
          <w:highlight w:val="none"/>
        </w:rPr>
        <w:t>长期绩效指标：主要包括运行成本、管理效率、履职效能、社会效应、可持续发展能力和满意度等六个一级指标，每一类一级指标细分为若干二级指标、三级指标，三级指标对应具体的指标值。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6.</w:t>
      </w:r>
      <w:r>
        <w:rPr>
          <w:rFonts w:hint="eastAsia" w:ascii="仿宋_GB2312" w:eastAsia="仿宋_GB2312" w:cs="仿宋_GB2312"/>
          <w:color w:val="auto"/>
          <w:sz w:val="28"/>
          <w:szCs w:val="28"/>
          <w:highlight w:val="none"/>
        </w:rPr>
        <w:t>年度目标：描述本部门在本年度内通过履行部门职责所达到的部门整体及核心业务效果。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7.</w:t>
      </w:r>
      <w:r>
        <w:rPr>
          <w:rFonts w:hint="eastAsia" w:ascii="仿宋_GB2312" w:eastAsia="仿宋_GB2312" w:cs="仿宋_GB2312"/>
          <w:color w:val="auto"/>
          <w:sz w:val="28"/>
          <w:szCs w:val="28"/>
          <w:highlight w:val="none"/>
        </w:rPr>
        <w:t>年度绩效指标参照长期绩效指标填报。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8.</w:t>
      </w:r>
      <w:r>
        <w:rPr>
          <w:rFonts w:hint="eastAsia" w:ascii="仿宋_GB2312" w:eastAsia="仿宋_GB2312" w:cs="仿宋_GB2312"/>
          <w:color w:val="auto"/>
          <w:sz w:val="28"/>
          <w:szCs w:val="28"/>
          <w:highlight w:val="none"/>
        </w:rPr>
        <w:t>指标值确定依据。通过收集相关基础数据，明确指标值确定依据，主要包括计划标准、行业标准、历史标准、预算支出标准或其他标准。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highlight w:val="none"/>
        </w:rPr>
      </w:pPr>
      <w:r>
        <w:rPr>
          <w:rFonts w:hint="eastAsia" w:ascii="仿宋_GB2312" w:eastAsia="仿宋_GB2312" w:cs="仿宋_GB2312"/>
          <w:color w:val="auto"/>
          <w:sz w:val="28"/>
          <w:szCs w:val="28"/>
          <w:highlight w:val="none"/>
          <w:lang w:val="en-US" w:eastAsia="zh-CN"/>
        </w:rPr>
        <w:t>9.</w:t>
      </w:r>
      <w:r>
        <w:rPr>
          <w:rFonts w:hint="eastAsia" w:ascii="仿宋_GB2312" w:eastAsia="仿宋_GB2312" w:cs="仿宋_GB2312"/>
          <w:color w:val="auto"/>
          <w:sz w:val="28"/>
          <w:szCs w:val="28"/>
          <w:highlight w:val="none"/>
        </w:rPr>
        <w:t>指标分类。按照绩效提升与创新程度将整体绩效目标分为绩效基本型、绩效创新型指标</w:t>
      </w:r>
      <w:r>
        <w:rPr>
          <w:rFonts w:hint="eastAsia" w:ascii="仿宋_GB2312" w:eastAsia="仿宋_GB2312" w:cs="仿宋_GB2312"/>
          <w:color w:val="auto"/>
          <w:sz w:val="28"/>
          <w:szCs w:val="28"/>
          <w:highlight w:val="none"/>
          <w:lang w:eastAsia="zh-CN"/>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5YTNlMjlmYjI1MTQ0ZjQ3MTc4MWM1YjAzN2IzZmUifQ=="/>
  </w:docVars>
  <w:rsids>
    <w:rsidRoot w:val="2C365954"/>
    <w:rsid w:val="01E74ACC"/>
    <w:rsid w:val="096609CC"/>
    <w:rsid w:val="0A23066B"/>
    <w:rsid w:val="0A9A6B7F"/>
    <w:rsid w:val="0B4E34C6"/>
    <w:rsid w:val="0CD90EE9"/>
    <w:rsid w:val="0DA9532B"/>
    <w:rsid w:val="113D4869"/>
    <w:rsid w:val="12704669"/>
    <w:rsid w:val="147D6BCA"/>
    <w:rsid w:val="178A3AD7"/>
    <w:rsid w:val="188B7B07"/>
    <w:rsid w:val="19081158"/>
    <w:rsid w:val="1C252021"/>
    <w:rsid w:val="1CA22253"/>
    <w:rsid w:val="1D48246B"/>
    <w:rsid w:val="1E83119C"/>
    <w:rsid w:val="20971013"/>
    <w:rsid w:val="212C2F24"/>
    <w:rsid w:val="21F030D1"/>
    <w:rsid w:val="21FF50C2"/>
    <w:rsid w:val="27AC35F6"/>
    <w:rsid w:val="2A2B114A"/>
    <w:rsid w:val="2A5E5F74"/>
    <w:rsid w:val="2C365954"/>
    <w:rsid w:val="2D7B562D"/>
    <w:rsid w:val="2EEB70FA"/>
    <w:rsid w:val="30240E53"/>
    <w:rsid w:val="309F63EE"/>
    <w:rsid w:val="32195D2C"/>
    <w:rsid w:val="34A51AF9"/>
    <w:rsid w:val="364D0D4A"/>
    <w:rsid w:val="381C20D2"/>
    <w:rsid w:val="388B350E"/>
    <w:rsid w:val="3C40612C"/>
    <w:rsid w:val="3F7722E4"/>
    <w:rsid w:val="3FFB0BB7"/>
    <w:rsid w:val="42DA5063"/>
    <w:rsid w:val="448B3F2B"/>
    <w:rsid w:val="4847568C"/>
    <w:rsid w:val="4DE72856"/>
    <w:rsid w:val="4FF43C08"/>
    <w:rsid w:val="51F6353C"/>
    <w:rsid w:val="53A25729"/>
    <w:rsid w:val="547075D6"/>
    <w:rsid w:val="5D972077"/>
    <w:rsid w:val="5E7D301B"/>
    <w:rsid w:val="5FFA069B"/>
    <w:rsid w:val="624125B1"/>
    <w:rsid w:val="6A0960AB"/>
    <w:rsid w:val="6AC63F9C"/>
    <w:rsid w:val="6D1B05CF"/>
    <w:rsid w:val="6D6D06FE"/>
    <w:rsid w:val="702A6D7B"/>
    <w:rsid w:val="70D311C0"/>
    <w:rsid w:val="70E707C8"/>
    <w:rsid w:val="716360A0"/>
    <w:rsid w:val="72A42E14"/>
    <w:rsid w:val="732950C8"/>
    <w:rsid w:val="74FF4332"/>
    <w:rsid w:val="7577036C"/>
    <w:rsid w:val="768076F4"/>
    <w:rsid w:val="76C11B20"/>
    <w:rsid w:val="78F46178"/>
    <w:rsid w:val="797D616D"/>
    <w:rsid w:val="7AE71AF0"/>
    <w:rsid w:val="7B9A7BAE"/>
    <w:rsid w:val="7CE6202B"/>
    <w:rsid w:val="7D1E1A15"/>
    <w:rsid w:val="7F970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cp:lastModifiedBy>
  <cp:lastPrinted>2024-01-24T08:44:00Z</cp:lastPrinted>
  <dcterms:modified xsi:type="dcterms:W3CDTF">2024-04-03T07:21:36Z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B9FD5BDAAC8E4E42B05DEB325E45D9B3_13</vt:lpwstr>
  </property>
</Properties>
</file>