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       年     月     日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794"/>
        <w:gridCol w:w="29"/>
        <w:gridCol w:w="1106"/>
        <w:gridCol w:w="392"/>
        <w:gridCol w:w="913"/>
        <w:gridCol w:w="752"/>
        <w:gridCol w:w="603"/>
        <w:gridCol w:w="34"/>
        <w:gridCol w:w="14"/>
        <w:gridCol w:w="882"/>
        <w:gridCol w:w="29"/>
        <w:gridCol w:w="930"/>
        <w:gridCol w:w="24"/>
        <w:gridCol w:w="50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eastAsia="zh-CN"/>
              </w:rPr>
              <w:t>沙窝乡财政所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192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邵敏</w:t>
            </w:r>
            <w:r>
              <w:rPr>
                <w:rFonts w:hint="eastAsia" w:ascii="仿宋_GB2312" w:hAnsi="宋体" w:eastAsia="仿宋_GB2312"/>
                <w:color w:val="auto"/>
                <w:kern w:val="0"/>
                <w:highlight w:val="none"/>
              </w:rPr>
              <w:t>　</w:t>
            </w:r>
          </w:p>
        </w:tc>
        <w:tc>
          <w:tcPr>
            <w:tcW w:w="130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286" w:type="dxa"/>
            <w:gridSpan w:val="10"/>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15827232440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234"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355"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234"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355"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151.86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176.57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164.82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151.86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176.57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164.82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111.71</w:t>
            </w: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74%</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144.69</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125.47</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40.15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26%</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31.88 </w:t>
            </w:r>
            <w:r>
              <w:rPr>
                <w:rFonts w:hint="eastAsia" w:ascii="仿宋_GB2312" w:hAnsi="宋体" w:eastAsia="仿宋_GB2312"/>
                <w:color w:val="auto"/>
                <w:kern w:val="0"/>
                <w:highlight w:val="none"/>
              </w:rPr>
              <w:t xml:space="preserve">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 xml:space="preserve">39.35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151.86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176.57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164.82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105" w:firstLineChars="50"/>
              <w:rPr>
                <w:rFonts w:ascii="仿宋_GB2312" w:hAnsi="宋体" w:eastAsia="仿宋_GB2312"/>
                <w:color w:val="auto"/>
                <w:kern w:val="0"/>
                <w:highlight w:val="none"/>
              </w:rPr>
            </w:pPr>
            <w:r>
              <w:rPr>
                <w:rFonts w:hint="eastAsia" w:ascii="仿宋_GB2312" w:hAnsi="宋体" w:eastAsia="仿宋_GB2312"/>
                <w:color w:val="auto"/>
                <w:kern w:val="0"/>
                <w:highlight w:val="none"/>
              </w:rPr>
              <w:t>1.</w:t>
            </w:r>
            <w:r>
              <w:rPr>
                <w:rFonts w:hint="eastAsia" w:ascii="仿宋_GB2312" w:hAnsi="宋体" w:eastAsia="仿宋_GB2312"/>
                <w:color w:val="auto"/>
                <w:kern w:val="0"/>
                <w:highlight w:val="none"/>
                <w:u w:val="single"/>
              </w:rPr>
              <w:t>在乡党委、区财经局要求下管理乡财政收入和支出，定期向乡人大、政府及区财经局报告预算执行情况</w:t>
            </w:r>
            <w:r>
              <w:rPr>
                <w:rFonts w:hint="eastAsia" w:ascii="仿宋_GB2312" w:hAnsi="宋体" w:eastAsia="仿宋_GB2312"/>
                <w:color w:val="auto"/>
                <w:kern w:val="0"/>
                <w:highlight w:val="none"/>
                <w:u w:val="single"/>
                <w:lang w:eastAsia="zh-CN"/>
              </w:rPr>
              <w:t>；贯彻党和国家财经方针政策，严格执行财政法规和财经制度</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乡税收的管理</w:t>
            </w:r>
            <w:r>
              <w:rPr>
                <w:rFonts w:hint="eastAsia" w:ascii="仿宋_GB2312" w:hAnsi="宋体" w:eastAsia="仿宋_GB2312"/>
                <w:color w:val="auto"/>
                <w:kern w:val="0"/>
                <w:highlight w:val="none"/>
                <w:u w:val="single"/>
                <w:lang w:eastAsia="zh-CN"/>
              </w:rPr>
              <w:t>；</w:t>
            </w:r>
            <w:r>
              <w:rPr>
                <w:rFonts w:hint="eastAsia" w:ascii="仿宋_GB2312" w:hAnsi="宋体" w:eastAsia="仿宋_GB2312"/>
                <w:color w:val="auto"/>
                <w:kern w:val="0"/>
                <w:highlight w:val="none"/>
                <w:u w:val="single"/>
              </w:rPr>
              <w:t>乡财政专项资金的管理及内部审计工作</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指导和协助村建立健全的三资管理办法，并监督执行</w:t>
            </w:r>
            <w:r>
              <w:rPr>
                <w:rFonts w:hint="eastAsia" w:ascii="仿宋_GB2312" w:hAnsi="宋体" w:eastAsia="仿宋_GB2312"/>
                <w:color w:val="auto"/>
                <w:kern w:val="0"/>
                <w:highlight w:val="none"/>
              </w:rPr>
              <w:t>；</w:t>
            </w:r>
          </w:p>
          <w:p>
            <w:pPr>
              <w:widowControl/>
              <w:snapToGrid w:val="0"/>
              <w:rPr>
                <w:rFonts w:hint="default"/>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对乡国有资产的登记、处置进行管理，确保乡国有资产安全和保值增值</w:t>
            </w:r>
            <w:r>
              <w:rPr>
                <w:rFonts w:hint="eastAsia" w:ascii="仿宋_GB2312" w:hAnsi="宋体" w:eastAsia="仿宋_GB2312"/>
                <w:color w:val="auto"/>
                <w:kern w:val="0"/>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rPr>
              <w:t>进一步优化202</w:t>
            </w:r>
            <w:r>
              <w:rPr>
                <w:rFonts w:hint="eastAsia" w:ascii="仿宋_GB2312" w:hAnsi="宋体" w:eastAsia="仿宋_GB2312"/>
                <w:color w:val="auto"/>
                <w:kern w:val="0"/>
                <w:highlight w:val="none"/>
                <w:u w:val="single"/>
                <w:lang w:val="en-US" w:eastAsia="zh-CN"/>
              </w:rPr>
              <w:t>4</w:t>
            </w:r>
            <w:r>
              <w:rPr>
                <w:rFonts w:hint="eastAsia" w:ascii="仿宋_GB2312" w:hAnsi="宋体" w:eastAsia="仿宋_GB2312"/>
                <w:color w:val="auto"/>
                <w:kern w:val="0"/>
                <w:highlight w:val="none"/>
                <w:u w:val="single"/>
              </w:rPr>
              <w:t>年部门预算</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认真清理部门的固定资产</w:t>
            </w:r>
            <w:r>
              <w:rPr>
                <w:rFonts w:hint="eastAsia" w:ascii="仿宋_GB2312" w:hAnsi="宋体" w:eastAsia="仿宋_GB2312"/>
                <w:color w:val="auto"/>
                <w:kern w:val="0"/>
                <w:highlight w:val="none"/>
                <w:u w:val="single"/>
                <w:lang w:eastAsia="zh-CN"/>
              </w:rPr>
              <w:t>；加强农村集体三资管理，认真执行三资管理办法</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认真做好党建、文明创建、档案提升、惠农资金补贴申报审核工作等</w:t>
            </w:r>
            <w:r>
              <w:rPr>
                <w:rFonts w:hint="eastAsia" w:ascii="仿宋_GB2312" w:hAnsi="宋体" w:eastAsia="仿宋_GB2312"/>
                <w:color w:val="auto"/>
                <w:kern w:val="0"/>
                <w:highlight w:val="none"/>
              </w:rPr>
              <w:t>；</w:t>
            </w:r>
          </w:p>
          <w:p>
            <w:pPr>
              <w:widowControl/>
              <w:snapToGrid w:val="0"/>
              <w:rPr>
                <w:rFonts w:hint="default"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进一步加强法治财政建设</w:t>
            </w:r>
            <w:r>
              <w:rPr>
                <w:rFonts w:hint="eastAsia" w:ascii="仿宋_GB2312" w:hAnsi="宋体" w:eastAsia="仿宋_GB2312"/>
                <w:color w:val="auto"/>
                <w:kern w:val="0"/>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ascii="仿宋_GB2312" w:hAnsi="宋体" w:eastAsia="仿宋_GB2312" w:cs="仿宋_GB2312"/>
                <w:color w:val="auto"/>
                <w:kern w:val="0"/>
                <w:highlight w:val="none"/>
              </w:rPr>
              <w:t xml:space="preserve"> </w:t>
            </w:r>
            <w:r>
              <w:rPr>
                <w:rFonts w:hint="eastAsia" w:ascii="仿宋_GB2312" w:hAnsi="宋体" w:eastAsia="仿宋_GB2312" w:cs="仿宋_GB2312"/>
                <w:color w:val="auto"/>
                <w:kern w:val="0"/>
                <w:highlight w:val="none"/>
              </w:rPr>
              <w:t>年）</w:t>
            </w:r>
          </w:p>
        </w:tc>
        <w:tc>
          <w:tcPr>
            <w:tcW w:w="7520" w:type="dxa"/>
            <w:gridSpan w:val="15"/>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进一步加强党建工作思想建设，加强农村集体三资管理</w:t>
            </w:r>
            <w:r>
              <w:rPr>
                <w:rFonts w:hint="eastAsia" w:ascii="仿宋_GB2312" w:hAnsi="宋体" w:eastAsia="仿宋_GB2312" w:cs="仿宋_GB2312"/>
                <w:color w:val="auto"/>
                <w:kern w:val="0"/>
                <w:highlight w:val="none"/>
                <w:lang w:eastAsia="zh-CN"/>
              </w:rPr>
              <w:t>，</w:t>
            </w:r>
            <w:r>
              <w:rPr>
                <w:rFonts w:hint="eastAsia" w:ascii="仿宋_GB2312" w:hAnsi="宋体" w:eastAsia="仿宋_GB2312" w:cs="仿宋_GB2312"/>
                <w:color w:val="auto"/>
                <w:kern w:val="0"/>
                <w:highlight w:val="none"/>
              </w:rPr>
              <w:t>认真做好文明创建、档案提升、惠农资金补贴申报审核工作等。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相对科学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加强农村集体三资管理规范性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基本合规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促进财政资金分配、使用合理性</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88%</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bCs/>
                <w:color w:val="auto"/>
                <w:kern w:val="0"/>
                <w:highlight w:val="none"/>
              </w:rPr>
              <w:t>年度目标：</w:t>
            </w:r>
          </w:p>
        </w:tc>
        <w:tc>
          <w:tcPr>
            <w:tcW w:w="7520" w:type="dxa"/>
            <w:gridSpan w:val="15"/>
            <w:tcMar>
              <w:left w:w="57" w:type="dxa"/>
              <w:right w:w="57" w:type="dxa"/>
            </w:tcMar>
            <w:vAlign w:val="center"/>
          </w:tcPr>
          <w:p>
            <w:pPr>
              <w:widowControl/>
              <w:snapToGrid w:val="0"/>
              <w:jc w:val="left"/>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　进一步加强党建工作思想建设，加强农村集体三资管理</w:t>
            </w:r>
            <w:r>
              <w:rPr>
                <w:rFonts w:hint="eastAsia" w:ascii="仿宋_GB2312" w:hAnsi="宋体" w:eastAsia="仿宋_GB2312" w:cs="仿宋_GB2312"/>
                <w:color w:val="auto"/>
                <w:kern w:val="0"/>
                <w:highlight w:val="none"/>
                <w:lang w:eastAsia="zh-CN"/>
              </w:rPr>
              <w:t>，</w:t>
            </w:r>
            <w:r>
              <w:rPr>
                <w:rFonts w:hint="eastAsia" w:ascii="仿宋_GB2312" w:hAnsi="宋体" w:eastAsia="仿宋_GB2312" w:cs="仿宋_GB2312"/>
                <w:color w:val="auto"/>
                <w:kern w:val="0"/>
                <w:highlight w:val="none"/>
              </w:rPr>
              <w:t>认真做好文明创建、档案提升、惠农资金补贴申报审核工作等。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三级指标</w:t>
            </w:r>
          </w:p>
        </w:tc>
        <w:tc>
          <w:tcPr>
            <w:tcW w:w="637"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855"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指标值</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2"/>
            <w:vMerge w:val="restart"/>
            <w:tcMar>
              <w:left w:w="57" w:type="dxa"/>
              <w:right w:w="57" w:type="dxa"/>
            </w:tcMar>
            <w:vAlign w:val="center"/>
          </w:tcPr>
          <w:p>
            <w:pPr>
              <w:widowControl/>
              <w:snapToGrid w:val="0"/>
              <w:jc w:val="center"/>
            </w:pP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882"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2"/>
            <w:vMerge w:val="continue"/>
            <w:tcMar>
              <w:left w:w="57" w:type="dxa"/>
              <w:right w:w="57" w:type="dxa"/>
            </w:tcMar>
            <w:vAlign w:val="center"/>
          </w:tcPr>
          <w:p>
            <w:pPr>
              <w:widowControl/>
              <w:snapToGrid w:val="0"/>
              <w:jc w:val="center"/>
            </w:pPr>
          </w:p>
        </w:tc>
        <w:tc>
          <w:tcPr>
            <w:tcW w:w="514" w:type="dxa"/>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公用经费控制率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b/>
                <w:bCs/>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中长期规划相符性</w:t>
            </w:r>
          </w:p>
        </w:tc>
        <w:tc>
          <w:tcPr>
            <w:tcW w:w="651" w:type="dxa"/>
            <w:gridSpan w:val="3"/>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959" w:type="dxa"/>
            <w:gridSpan w:val="2"/>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651" w:type="dxa"/>
            <w:gridSpan w:val="3"/>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Borders>
              <w:left w:val="nil"/>
            </w:tcBorders>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基本健全</w:t>
            </w:r>
          </w:p>
        </w:tc>
        <w:tc>
          <w:tcPr>
            <w:tcW w:w="528" w:type="dxa"/>
            <w:gridSpan w:val="2"/>
            <w:tcBorders>
              <w:left w:val="nil"/>
            </w:tcBorders>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相对科学</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结转结余率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bookmarkStart w:id="0" w:name="_GoBack" w:colFirst="5" w:colLast="6"/>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加强农村集体三资管理规范性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基本合规</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社会效应</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促进财政资金分配、使用合理性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88%</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88%</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89%</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5YTNlMjlmYjI1MTQ0ZjQ3MTc4MWM1YjAzN2IzZmUifQ=="/>
  </w:docVars>
  <w:rsids>
    <w:rsidRoot w:val="2C365954"/>
    <w:rsid w:val="00A16BE5"/>
    <w:rsid w:val="040C6A6B"/>
    <w:rsid w:val="0787424B"/>
    <w:rsid w:val="09300B06"/>
    <w:rsid w:val="0CD90EE9"/>
    <w:rsid w:val="1CA22253"/>
    <w:rsid w:val="1E83119C"/>
    <w:rsid w:val="1FE346CD"/>
    <w:rsid w:val="212C2F24"/>
    <w:rsid w:val="242F7EE0"/>
    <w:rsid w:val="24883A94"/>
    <w:rsid w:val="29671ECA"/>
    <w:rsid w:val="29752839"/>
    <w:rsid w:val="2A5E5F74"/>
    <w:rsid w:val="2C365954"/>
    <w:rsid w:val="30240E53"/>
    <w:rsid w:val="364D0D4A"/>
    <w:rsid w:val="388B350E"/>
    <w:rsid w:val="3E856CA5"/>
    <w:rsid w:val="3FFB0BB7"/>
    <w:rsid w:val="441F3676"/>
    <w:rsid w:val="4A477482"/>
    <w:rsid w:val="4A842484"/>
    <w:rsid w:val="4DE72856"/>
    <w:rsid w:val="515A3F3F"/>
    <w:rsid w:val="55A97243"/>
    <w:rsid w:val="59017396"/>
    <w:rsid w:val="6AC63F9C"/>
    <w:rsid w:val="6D7221B9"/>
    <w:rsid w:val="70D311C0"/>
    <w:rsid w:val="72A42E14"/>
    <w:rsid w:val="787B0173"/>
    <w:rsid w:val="7B9A7BAE"/>
    <w:rsid w:val="7F970DCB"/>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cp:lastModifiedBy>
  <cp:lastPrinted>2024-01-24T08:44:00Z</cp:lastPrinted>
  <dcterms:modified xsi:type="dcterms:W3CDTF">2024-04-03T07:12:00Z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B9FD5BDAAC8E4E42B05DEB325E45D9B3_13</vt:lpwstr>
  </property>
</Properties>
</file>