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lang w:val="en-US" w:eastAsia="zh-CN"/>
        </w:rPr>
        <w:t xml:space="preserve">                                  </w:t>
      </w:r>
      <w:r>
        <w:rPr>
          <w:rFonts w:hint="eastAsia" w:ascii="楷体_GB2312" w:hAnsi="Times New Roman" w:eastAsia="楷体_GB2312"/>
          <w:color w:val="auto"/>
          <w:sz w:val="28"/>
          <w:szCs w:val="28"/>
          <w:highlight w:val="none"/>
        </w:rPr>
        <w:t xml:space="preserve">                单位：万元</w:t>
      </w:r>
    </w:p>
    <w:tbl>
      <w:tblPr>
        <w:tblStyle w:val="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6"/>
        <w:gridCol w:w="27"/>
        <w:gridCol w:w="741"/>
        <w:gridCol w:w="27"/>
        <w:gridCol w:w="1315"/>
        <w:gridCol w:w="84"/>
        <w:gridCol w:w="1025"/>
        <w:gridCol w:w="528"/>
        <w:gridCol w:w="336"/>
        <w:gridCol w:w="229"/>
        <w:gridCol w:w="134"/>
        <w:gridCol w:w="733"/>
        <w:gridCol w:w="28"/>
        <w:gridCol w:w="866"/>
        <w:gridCol w:w="23"/>
        <w:gridCol w:w="3"/>
        <w:gridCol w:w="465"/>
        <w:gridCol w:w="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4202" w:type="pct"/>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eastAsia="zh-CN"/>
              </w:rPr>
              <w:t>鄂州市市场监督管理局临空经济区分局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124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熊语嫣</w:t>
            </w:r>
            <w:r>
              <w:rPr>
                <w:rFonts w:hint="eastAsia" w:ascii="仿宋_GB2312" w:hAnsi="宋体" w:eastAsia="仿宋_GB2312"/>
                <w:color w:val="auto"/>
                <w:kern w:val="0"/>
                <w:highlight w:val="none"/>
              </w:rPr>
              <w:t>　</w:t>
            </w:r>
          </w:p>
        </w:tc>
        <w:tc>
          <w:tcPr>
            <w:tcW w:w="663"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2293" w:type="pct"/>
            <w:gridSpan w:val="11"/>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18671123739</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1908" w:type="pct"/>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654" w:type="pct"/>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535" w:type="pct"/>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102" w:type="pct"/>
            <w:gridSpan w:val="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908" w:type="pct"/>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654" w:type="pct"/>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535" w:type="pct"/>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1137.81</w:t>
            </w:r>
            <w:r>
              <w:rPr>
                <w:rFonts w:hint="eastAsia" w:ascii="仿宋_GB2312" w:hAnsi="宋体" w:eastAsia="仿宋_GB2312"/>
                <w:color w:val="auto"/>
                <w:kern w:val="0"/>
                <w:highlight w:val="none"/>
              </w:rPr>
              <w:t>　</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100%</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both"/>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1142.12</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1129.23</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ind w:firstLine="420" w:firstLineChars="20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 xml:space="preserve">  0</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1137.81</w:t>
            </w:r>
            <w:r>
              <w:rPr>
                <w:rFonts w:hint="eastAsia" w:ascii="仿宋_GB2312" w:hAnsi="宋体" w:eastAsia="仿宋_GB2312"/>
                <w:color w:val="auto"/>
                <w:kern w:val="0"/>
                <w:highlight w:val="none"/>
              </w:rPr>
              <w:t>　</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both"/>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1142.12</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1129.23</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921.5</w:t>
            </w:r>
            <w:r>
              <w:rPr>
                <w:rFonts w:hint="eastAsia" w:ascii="仿宋_GB2312" w:hAnsi="宋体" w:eastAsia="仿宋_GB2312"/>
                <w:color w:val="auto"/>
                <w:kern w:val="0"/>
                <w:highlight w:val="none"/>
              </w:rPr>
              <w:t>　</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81%</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951.21　</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850.49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216.31</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ind w:firstLine="210" w:firstLineChars="10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19%</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190.91</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278.74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0</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 xml:space="preserve"> 0</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0</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459" w:type="pct"/>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448"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654"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1137.81</w:t>
            </w:r>
          </w:p>
        </w:tc>
        <w:tc>
          <w:tcPr>
            <w:tcW w:w="535"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532" w:type="pct"/>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1142.12</w:t>
            </w:r>
            <w:r>
              <w:rPr>
                <w:rFonts w:hint="eastAsia" w:ascii="仿宋_GB2312" w:hAnsi="宋体" w:eastAsia="仿宋_GB2312"/>
                <w:color w:val="auto"/>
                <w:kern w:val="0"/>
                <w:highlight w:val="none"/>
              </w:rPr>
              <w:t>　</w:t>
            </w:r>
          </w:p>
        </w:tc>
        <w:tc>
          <w:tcPr>
            <w:tcW w:w="569" w:type="pct"/>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1129.23</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4202" w:type="pct"/>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1.贯彻执行国家、省、市有关工商行政管理、质量技术监督、食品药品监督管理等方面的法律、法规和政策；拟订并组织实施市场和质量监督管理事业发展规划和技术机构建设规划；组织推进质量发展工作。</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2.负责涉及工商行政管理、质量技术监督、食品药品监督管理的各类行政审批和行政许可并监督管理。</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3.依法承担对各类市场经营秩序监管责任，维护公平竞争的市场经营秩序。</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4.依法承担消费者权益保护责任，建立消费者权益保护体系，组织指导消费维权工作。</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5.依法实施合同行政监督管理，规范合同行为；负责商标和广告活动的监督管理工作；承担辖区内酒类流通管理职责。依法保护商标专用权和查处商标侵权行为。</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6.依法承担质量监督管理工作。</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7.负责管理计量工作；组织推行法定计量单位和国家计量制度；依法管理辖区计量器具及量值传递和比对工作；负责规范和监督商品计量和市场计量行为。</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8.负责管理标准化工作；组织协调和指导推动各部门、各行业的标准化工作；依法组织制定地方标准规范；依法监督标准的实施。</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9.负责管理合格评定工作；依法负责检验机构及其检验服务活动的监督管理工作；规范和监督认证市场行为；负责工业产品生产许可证和能效标识的监督管理。</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10.依法承担食品安全监督管理工作。</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11.负责药品、化妆品、医疗器械的监督管理。</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12.负责特种设备安全监察、监督综合管理工作。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7" w:type="pct"/>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4202" w:type="pct"/>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宋体" w:hAnsi="宋体"/>
                <w:color w:val="auto"/>
                <w:kern w:val="0"/>
                <w:highlight w:val="none"/>
              </w:rPr>
            </w:pPr>
            <w:r>
              <w:rPr>
                <w:rFonts w:hint="eastAsia" w:ascii="宋体" w:hAnsi="宋体"/>
                <w:color w:val="auto"/>
                <w:kern w:val="0"/>
                <w:highlight w:val="none"/>
              </w:rPr>
              <w:t> </w:t>
            </w:r>
          </w:p>
          <w:p>
            <w:pPr>
              <w:rPr>
                <w:rFonts w:hint="eastAsia" w:ascii="仿宋_GB2312" w:hAnsi="宋体" w:eastAsia="仿宋_GB2312" w:cs="仿宋_GB2312"/>
                <w:kern w:val="0"/>
              </w:rPr>
            </w:pPr>
            <w:r>
              <w:rPr>
                <w:rFonts w:hint="eastAsia" w:ascii="仿宋_GB2312" w:hAnsi="宋体" w:eastAsia="仿宋_GB2312" w:cs="仿宋_GB2312"/>
                <w:kern w:val="0"/>
              </w:rPr>
              <w:t>1.进一步提升市场准入便利度</w:t>
            </w:r>
          </w:p>
          <w:p>
            <w:pPr>
              <w:rPr>
                <w:rFonts w:hint="eastAsia" w:ascii="仿宋_GB2312" w:hAnsi="宋体" w:eastAsia="仿宋_GB2312" w:cs="仿宋_GB2312"/>
                <w:kern w:val="0"/>
              </w:rPr>
            </w:pPr>
            <w:r>
              <w:rPr>
                <w:rFonts w:hint="eastAsia" w:ascii="仿宋_GB2312" w:hAnsi="宋体" w:eastAsia="仿宋_GB2312" w:cs="仿宋_GB2312"/>
                <w:kern w:val="0"/>
              </w:rPr>
              <w:t>2.进一步提升政务服务质效</w:t>
            </w:r>
          </w:p>
          <w:p>
            <w:pPr>
              <w:rPr>
                <w:rFonts w:hint="eastAsia" w:ascii="仿宋_GB2312" w:hAnsi="宋体" w:eastAsia="仿宋_GB2312" w:cs="仿宋_GB2312"/>
                <w:kern w:val="0"/>
              </w:rPr>
            </w:pPr>
            <w:r>
              <w:rPr>
                <w:rFonts w:hint="eastAsia" w:ascii="仿宋_GB2312" w:hAnsi="宋体" w:eastAsia="仿宋_GB2312" w:cs="仿宋_GB2312"/>
                <w:kern w:val="0"/>
              </w:rPr>
              <w:t>3.进一步促进市场公平竞争</w:t>
            </w:r>
          </w:p>
          <w:p>
            <w:pPr>
              <w:rPr>
                <w:rFonts w:hint="eastAsia" w:ascii="仿宋_GB2312" w:hAnsi="宋体" w:eastAsia="仿宋_GB2312" w:cs="仿宋_GB2312"/>
                <w:kern w:val="0"/>
              </w:rPr>
            </w:pPr>
            <w:r>
              <w:rPr>
                <w:rFonts w:hint="eastAsia" w:ascii="仿宋_GB2312" w:hAnsi="宋体" w:eastAsia="仿宋_GB2312" w:cs="仿宋_GB2312"/>
                <w:kern w:val="0"/>
              </w:rPr>
              <w:t>4.进一步加强事中事后监管</w:t>
            </w:r>
          </w:p>
          <w:p>
            <w:pPr>
              <w:widowControl/>
              <w:snapToGrid w:val="0"/>
              <w:rPr>
                <w:rFonts w:ascii="仿宋_GB2312" w:hAnsi="宋体" w:eastAsia="仿宋_GB2312"/>
                <w:color w:val="auto"/>
                <w:kern w:val="0"/>
                <w:highlight w:val="none"/>
              </w:rPr>
            </w:pPr>
            <w:r>
              <w:rPr>
                <w:rFonts w:hint="eastAsia" w:ascii="仿宋_GB2312" w:hAnsi="宋体" w:eastAsia="仿宋_GB2312" w:cs="仿宋_GB2312"/>
                <w:kern w:val="0"/>
              </w:rPr>
              <w:t>5.进一步健全完善长效机制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hint="eastAsia" w:ascii="仿宋_GB2312" w:hAnsi="宋体" w:eastAsia="仿宋_GB2312" w:cs="仿宋_GB2312"/>
                <w:color w:val="auto"/>
                <w:kern w:val="0"/>
                <w:highlight w:val="none"/>
                <w:lang w:val="en-US" w:eastAsia="zh-CN"/>
              </w:rPr>
              <w:t>2025</w:t>
            </w:r>
            <w:r>
              <w:rPr>
                <w:rFonts w:hint="eastAsia" w:ascii="仿宋_GB2312" w:hAnsi="宋体" w:eastAsia="仿宋_GB2312" w:cs="仿宋_GB2312"/>
                <w:color w:val="auto"/>
                <w:kern w:val="0"/>
                <w:highlight w:val="none"/>
              </w:rPr>
              <w:t>年）</w:t>
            </w:r>
          </w:p>
        </w:tc>
        <w:tc>
          <w:tcPr>
            <w:tcW w:w="4218" w:type="pct"/>
            <w:gridSpan w:val="17"/>
            <w:tcMar>
              <w:left w:w="57" w:type="dxa"/>
              <w:right w:w="57" w:type="dxa"/>
            </w:tcMar>
            <w:vAlign w:val="top"/>
          </w:tcPr>
          <w:p>
            <w:pPr>
              <w:widowControl/>
              <w:numPr>
                <w:ilvl w:val="0"/>
                <w:numId w:val="0"/>
              </w:numPr>
              <w:snapToGrid w:val="0"/>
              <w:jc w:val="both"/>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1、全面推进知识产权强市建设，不断提升我市知识产权创造、运用、保护、管理、服务工作水平和实效，为鄂州高质量发展提供有力支撑，推进我市知识产权工作迈上新台阶。</w:t>
            </w:r>
          </w:p>
          <w:p>
            <w:pPr>
              <w:widowControl/>
              <w:numPr>
                <w:ilvl w:val="0"/>
                <w:numId w:val="0"/>
              </w:numPr>
              <w:snapToGrid w:val="0"/>
              <w:jc w:val="both"/>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2、坚持人民至上、生命至上的发展理念，认真贯彻落实国家、省、市有关特种设备安全监察工作总体部署，推进特种设备制造、安装、改造、修理产业结构优化升级；通过对重点区域、重点行业开展的监督检查、安全监察，将坚持安全第一、预防为主、节能环保、综合治理原则落到实处，督促特种设备生产、使用单位落实主体责任，加强行业自律；对963333电梯应急处置平台进行功能拓展，加强电梯安全监管水平，进一步压实电梯使用、维保单位主体责任，保障电梯安全运行，助力分类监管、精准监管；地方政府落实领导监管责任；职能部门落实行业监管责任，发挥人民群众监督效能，实现公共服务和安全管理职能，保障人民群众身体健康和生命财产安全，实现鄂州经济健康、可持续性发展，促进社会和谐发展。</w:t>
            </w:r>
          </w:p>
          <w:p>
            <w:pPr>
              <w:widowControl/>
              <w:numPr>
                <w:ilvl w:val="0"/>
                <w:numId w:val="0"/>
              </w:numPr>
              <w:snapToGrid w:val="0"/>
              <w:jc w:val="both"/>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3、认真贯彻落实国家、省、市关于执法打假工作总体部署，切实加强事中事后监管，严厉打击制售假冒伪劣商品违法行为，严厉打击非法集资等传销违法行为、严厉损害消费者的合法权益违法行为，严厉打击虚假宣传、商业欺诈等不正当竞争等违法行为，保护广大消费者的合法权益维护公平竞争的市场秩序，为推进鄂州市“三城一化”建设，作出市场监管部门应有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45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852" w:type="pct"/>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852" w:type="pct"/>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929" w:type="pct"/>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852" w:type="pct"/>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856" w:type="pct"/>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eastAsia="zh-CN"/>
              </w:rPr>
              <w:t>基本相符</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856" w:type="pct"/>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eastAsia="zh-CN"/>
              </w:rPr>
              <w:t>健全</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856" w:type="pct"/>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科学</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856" w:type="pct"/>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合理</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856" w:type="pct"/>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规范</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856"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lang w:eastAsia="zh-CN"/>
              </w:rPr>
              <w:t>合理</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551"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预算支出标准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929"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企业注册登记数量</w:t>
            </w:r>
          </w:p>
        </w:tc>
        <w:tc>
          <w:tcPr>
            <w:tcW w:w="856" w:type="pct"/>
            <w:gridSpan w:val="4"/>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500</w:t>
            </w:r>
          </w:p>
        </w:tc>
        <w:tc>
          <w:tcPr>
            <w:tcW w:w="551" w:type="pct"/>
            <w:gridSpan w:val="4"/>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完成指标值</w:t>
            </w:r>
          </w:p>
        </w:tc>
        <w:tc>
          <w:tcPr>
            <w:tcW w:w="568"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企业注册登记数量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929"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个体登记数量</w:t>
            </w:r>
          </w:p>
        </w:tc>
        <w:tc>
          <w:tcPr>
            <w:tcW w:w="856" w:type="pct"/>
            <w:gridSpan w:val="4"/>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1000</w:t>
            </w:r>
          </w:p>
        </w:tc>
        <w:tc>
          <w:tcPr>
            <w:tcW w:w="551" w:type="pct"/>
            <w:gridSpan w:val="4"/>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完成指标值</w:t>
            </w:r>
          </w:p>
        </w:tc>
        <w:tc>
          <w:tcPr>
            <w:tcW w:w="568"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highlight w:val="none"/>
              </w:rPr>
            </w:pPr>
            <w:r>
              <w:rPr>
                <w:rFonts w:hint="default" w:ascii="仿宋_GB2312" w:hAnsi="宋体" w:eastAsia="仿宋_GB2312" w:cs="Times New Roman"/>
                <w:color w:val="auto"/>
                <w:kern w:val="0"/>
                <w:highlight w:val="none"/>
                <w:lang w:val="en-US" w:eastAsia="zh-CN"/>
              </w:rPr>
              <w:t>个体登记数量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929" w:type="pct"/>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highlight w:val="none"/>
                <w:lang w:val="en-US" w:eastAsia="zh-CN"/>
              </w:rPr>
            </w:pPr>
            <w:r>
              <w:rPr>
                <w:rFonts w:hint="eastAsia" w:ascii="仿宋_GB2312" w:hAnsi="宋体" w:eastAsia="仿宋_GB2312" w:cs="Times New Roman"/>
                <w:color w:val="auto"/>
                <w:kern w:val="0"/>
                <w:highlight w:val="none"/>
                <w:lang w:val="en-US" w:eastAsia="zh-CN"/>
              </w:rPr>
              <w:t>产品质量监督抽查购样（批次）</w:t>
            </w:r>
          </w:p>
        </w:tc>
        <w:tc>
          <w:tcPr>
            <w:tcW w:w="856"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highlight w:val="none"/>
                <w:lang w:val="en-US" w:eastAsia="zh-CN"/>
              </w:rPr>
            </w:pPr>
            <w:r>
              <w:rPr>
                <w:rFonts w:hint="eastAsia" w:ascii="仿宋_GB2312" w:hAnsi="宋体" w:eastAsia="仿宋_GB2312" w:cs="Times New Roman"/>
                <w:color w:val="auto"/>
                <w:kern w:val="0"/>
                <w:highlight w:val="none"/>
                <w:lang w:val="en-US" w:eastAsia="zh-CN"/>
              </w:rPr>
              <w:t>50</w:t>
            </w:r>
          </w:p>
        </w:tc>
        <w:tc>
          <w:tcPr>
            <w:tcW w:w="551" w:type="pct"/>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highlight w:val="none"/>
                <w:lang w:val="en-US" w:eastAsia="zh-CN"/>
              </w:rPr>
            </w:pPr>
            <w:r>
              <w:rPr>
                <w:rFonts w:hint="default" w:ascii="仿宋_GB2312" w:hAnsi="宋体" w:eastAsia="仿宋_GB2312" w:cs="Times New Roman"/>
                <w:color w:val="auto"/>
                <w:kern w:val="0"/>
                <w:highlight w:val="none"/>
                <w:lang w:val="en-US" w:eastAsia="zh-CN"/>
              </w:rPr>
              <w:t>完成指标值</w:t>
            </w:r>
          </w:p>
        </w:tc>
        <w:tc>
          <w:tcPr>
            <w:tcW w:w="568" w:type="pct"/>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highlight w:val="none"/>
                <w:lang w:val="en-US" w:eastAsia="zh-CN"/>
              </w:rPr>
            </w:pPr>
            <w:r>
              <w:rPr>
                <w:rFonts w:hint="eastAsia" w:ascii="仿宋_GB2312" w:hAnsi="宋体" w:eastAsia="仿宋_GB2312" w:cs="Times New Roman"/>
                <w:color w:val="auto"/>
                <w:kern w:val="0"/>
                <w:highlight w:val="none"/>
                <w:lang w:val="en-US" w:eastAsia="zh-CN"/>
              </w:rPr>
              <w:t>产品质量监督抽查购样（批次）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培育知识产权强企（国家知识产权优势企业）</w:t>
            </w:r>
          </w:p>
        </w:tc>
        <w:tc>
          <w:tcPr>
            <w:tcW w:w="856" w:type="pct"/>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val="en-US" w:eastAsia="zh-CN"/>
              </w:rPr>
              <w:t>1</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计划标准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培育特色商标品牌</w:t>
            </w:r>
          </w:p>
        </w:tc>
        <w:tc>
          <w:tcPr>
            <w:tcW w:w="856" w:type="pct"/>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1</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计划标准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将坚持安全第一、预防为主、节能环保、综合治理原则落到实处</w:t>
            </w:r>
          </w:p>
        </w:tc>
        <w:tc>
          <w:tcPr>
            <w:tcW w:w="856" w:type="pct"/>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促进企业落实节能减排主体责任</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计划标准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852" w:type="pct"/>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856"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明显</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856"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明显</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856"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100%</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856"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列入发展规划</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856"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不涉及</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856" w:type="pct"/>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建设中</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856" w:type="pct"/>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90%</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856" w:type="pct"/>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90%</w:t>
            </w:r>
          </w:p>
        </w:tc>
        <w:tc>
          <w:tcPr>
            <w:tcW w:w="551" w:type="pct"/>
            <w:gridSpan w:val="4"/>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568"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781" w:type="pct"/>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4218" w:type="pct"/>
            <w:gridSpan w:val="17"/>
            <w:tcMar>
              <w:left w:w="57" w:type="dxa"/>
              <w:right w:w="57" w:type="dxa"/>
            </w:tcMar>
            <w:vAlign w:val="center"/>
          </w:tcPr>
          <w:p>
            <w:pPr>
              <w:widowControl/>
              <w:numPr>
                <w:ilvl w:val="0"/>
                <w:numId w:val="1"/>
              </w:numPr>
              <w:snapToGrid w:val="0"/>
              <w:jc w:val="left"/>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　</w:t>
            </w:r>
            <w:r>
              <w:rPr>
                <w:rFonts w:hint="eastAsia" w:ascii="仿宋_GB2312" w:hAnsi="宋体" w:eastAsia="仿宋_GB2312" w:cs="仿宋_GB2312"/>
                <w:color w:val="auto"/>
                <w:kern w:val="0"/>
                <w:highlight w:val="none"/>
                <w:lang w:val="en-US" w:eastAsia="zh-CN"/>
              </w:rPr>
              <w:t>全面推进知识产权强市建设，不断提升我市知识产权创造、运用、保护、管理、服务工作水平和实效，为鄂州高质量发展提供有力支撑，推进我市知识产权工作迈上新台阶。</w:t>
            </w:r>
          </w:p>
          <w:p>
            <w:pPr>
              <w:widowControl/>
              <w:numPr>
                <w:ilvl w:val="0"/>
                <w:numId w:val="1"/>
              </w:numPr>
              <w:snapToGrid w:val="0"/>
              <w:jc w:val="left"/>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坚持人民至上、生命至上的发展理念，认真贯彻落实国家、省、市有关特种设备安全监察工作总体部署，推进特种设备制造、安装、改造、修理产业结构优化升级；通过对重点区域、重点行业开展的监督检查、安全监察，将坚持安全第一、预防为主、节能环保、综合治理原则落到实处，督促特种设备生产、使用单位落实主体责任，加强行业自律；对963333电梯应急处置平台进行功能拓展，加强电梯安全监管水平，进一步压实电梯使用、维保单位主体责任，保障电梯安全运行，助力分类监管、精准监管；地方政府落实领导监管责任；职能部门落实行业监管责任，发挥人民群众监督效能，实现公共服务和安全管理职能，保障人民群众身体健康和生命财产安全，实现鄂州经济健康、可持续性发展，促进社会和谐发展。</w:t>
            </w:r>
          </w:p>
          <w:p>
            <w:pPr>
              <w:widowControl/>
              <w:numPr>
                <w:ilvl w:val="0"/>
                <w:numId w:val="1"/>
              </w:numPr>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认真贯彻落实国家、省、市关于执法打假工作总体部署，切实加强事中事后监管，严厉打击制售假冒伪劣商品违法行为，严厉打击非法集资等传销违法行为、严厉损害消费者的合法权益违法行为，严厉打击虚假宣传、商业欺诈等不正当竞争等违法行为，保护广大消费者的合法权益维护公平竞争的市场秩序，为推进鄂州市“三城一化”建设，作出市场监管部门应有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852" w:type="pct"/>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92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201" w:type="pct"/>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190" w:type="pct"/>
            <w:gridSpan w:val="5"/>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294" w:type="pct"/>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288" w:type="pct"/>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6" w:type="pct"/>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535"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294"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88" w:type="pct"/>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418" w:type="pct"/>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437" w:type="pc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535"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94"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88" w:type="pct"/>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852" w:type="pct"/>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418" w:type="pct"/>
            <w:gridSpan w:val="3"/>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418" w:type="pct"/>
            <w:gridSpan w:val="3"/>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96%</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95%</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929" w:type="pct"/>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418" w:type="pct"/>
            <w:gridSpan w:val="3"/>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418" w:type="pct"/>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437" w:type="pc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535"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852" w:type="pct"/>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完全相符</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完全相符</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完全相符</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科学</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科学</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科学</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合理</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合理</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合理</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418" w:type="pct"/>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color w:val="auto"/>
                <w:lang w:eastAsia="zh-CN"/>
              </w:rPr>
              <w:t>合理</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color w:val="auto"/>
                <w:lang w:eastAsia="zh-CN"/>
              </w:rPr>
              <w:t>合理</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color w:val="auto"/>
                <w:lang w:eastAsia="zh-CN"/>
              </w:rPr>
              <w:t>合理</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418"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完全合规</w:t>
            </w:r>
          </w:p>
        </w:tc>
        <w:tc>
          <w:tcPr>
            <w:tcW w:w="437"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完全合规</w:t>
            </w:r>
          </w:p>
        </w:tc>
        <w:tc>
          <w:tcPr>
            <w:tcW w:w="535" w:type="pct"/>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完全合规</w:t>
            </w:r>
          </w:p>
        </w:tc>
        <w:tc>
          <w:tcPr>
            <w:tcW w:w="294" w:type="pct"/>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预算支出标准</w:t>
            </w:r>
          </w:p>
        </w:tc>
        <w:tc>
          <w:tcPr>
            <w:tcW w:w="288" w:type="pct"/>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929"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企业注册登记数量</w:t>
            </w:r>
          </w:p>
        </w:tc>
        <w:tc>
          <w:tcPr>
            <w:tcW w:w="418" w:type="pct"/>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500</w:t>
            </w:r>
          </w:p>
        </w:tc>
        <w:tc>
          <w:tcPr>
            <w:tcW w:w="437" w:type="pct"/>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500</w:t>
            </w:r>
          </w:p>
        </w:tc>
        <w:tc>
          <w:tcPr>
            <w:tcW w:w="535"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500</w:t>
            </w:r>
          </w:p>
        </w:tc>
        <w:tc>
          <w:tcPr>
            <w:tcW w:w="294" w:type="pct"/>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完成指标值</w:t>
            </w:r>
          </w:p>
        </w:tc>
        <w:tc>
          <w:tcPr>
            <w:tcW w:w="288" w:type="pct"/>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企业注册登记数量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929"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个体登记数量</w:t>
            </w:r>
          </w:p>
        </w:tc>
        <w:tc>
          <w:tcPr>
            <w:tcW w:w="418" w:type="pct"/>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1000</w:t>
            </w:r>
          </w:p>
        </w:tc>
        <w:tc>
          <w:tcPr>
            <w:tcW w:w="437" w:type="pct"/>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1000</w:t>
            </w:r>
          </w:p>
        </w:tc>
        <w:tc>
          <w:tcPr>
            <w:tcW w:w="535" w:type="pct"/>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1000</w:t>
            </w:r>
          </w:p>
        </w:tc>
        <w:tc>
          <w:tcPr>
            <w:tcW w:w="294" w:type="pct"/>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完成指标值</w:t>
            </w:r>
          </w:p>
        </w:tc>
        <w:tc>
          <w:tcPr>
            <w:tcW w:w="288" w:type="pct"/>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个体登记数量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929" w:type="pct"/>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Times New Roman"/>
                <w:color w:val="auto"/>
                <w:kern w:val="0"/>
                <w:highlight w:val="none"/>
                <w:lang w:val="en-US" w:eastAsia="zh-CN"/>
              </w:rPr>
              <w:t>产品质量监督抽查购样（批次）</w:t>
            </w:r>
          </w:p>
        </w:tc>
        <w:tc>
          <w:tcPr>
            <w:tcW w:w="418" w:type="pct"/>
            <w:gridSpan w:val="3"/>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Times New Roman"/>
                <w:color w:val="auto"/>
                <w:kern w:val="0"/>
                <w:highlight w:val="none"/>
                <w:lang w:val="en-US" w:eastAsia="zh-CN"/>
              </w:rPr>
              <w:t>50</w:t>
            </w:r>
          </w:p>
        </w:tc>
        <w:tc>
          <w:tcPr>
            <w:tcW w:w="437" w:type="pct"/>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Times New Roman"/>
                <w:color w:val="auto"/>
                <w:kern w:val="0"/>
                <w:highlight w:val="none"/>
                <w:lang w:val="en-US" w:eastAsia="zh-CN"/>
              </w:rPr>
              <w:t>50</w:t>
            </w:r>
          </w:p>
        </w:tc>
        <w:tc>
          <w:tcPr>
            <w:tcW w:w="535" w:type="pct"/>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Times New Roman"/>
                <w:color w:val="auto"/>
                <w:kern w:val="0"/>
                <w:highlight w:val="none"/>
                <w:lang w:val="en-US" w:eastAsia="zh-CN"/>
              </w:rPr>
              <w:t>50</w:t>
            </w:r>
          </w:p>
        </w:tc>
        <w:tc>
          <w:tcPr>
            <w:tcW w:w="294" w:type="pct"/>
            <w:gridSpan w:val="3"/>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default" w:ascii="仿宋_GB2312" w:hAnsi="宋体" w:eastAsia="仿宋_GB2312" w:cs="Times New Roman"/>
                <w:color w:val="auto"/>
                <w:kern w:val="0"/>
                <w:highlight w:val="none"/>
                <w:lang w:val="en-US" w:eastAsia="zh-CN"/>
              </w:rPr>
              <w:t>完成指标值</w:t>
            </w:r>
          </w:p>
        </w:tc>
        <w:tc>
          <w:tcPr>
            <w:tcW w:w="288" w:type="pct"/>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Times New Roman"/>
                <w:color w:val="auto"/>
                <w:kern w:val="0"/>
                <w:highlight w:val="none"/>
                <w:lang w:val="en-US" w:eastAsia="zh-CN"/>
              </w:rPr>
              <w:t>产品质量监督抽查购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培育知识产权强企（国家知识产权优势企业）</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w:t>
            </w:r>
          </w:p>
        </w:tc>
        <w:tc>
          <w:tcPr>
            <w:tcW w:w="437" w:type="pc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0</w:t>
            </w:r>
          </w:p>
        </w:tc>
        <w:tc>
          <w:tcPr>
            <w:tcW w:w="535" w:type="pct"/>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0</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计划标准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培育特色商标品牌</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1</w:t>
            </w:r>
          </w:p>
        </w:tc>
        <w:tc>
          <w:tcPr>
            <w:tcW w:w="437" w:type="pc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0</w:t>
            </w:r>
          </w:p>
        </w:tc>
        <w:tc>
          <w:tcPr>
            <w:tcW w:w="535" w:type="pct"/>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0</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计划标准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将坚持安全第一、预防为主、节能环保、综合治理原则落到实处</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促进企业落实节能减排主体责任</w:t>
            </w: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促进企业落实节能减排主体责任</w:t>
            </w: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促进企业落实节能减排主体责任</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计划标准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852" w:type="pct"/>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明显</w:t>
            </w: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明显</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计划标准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绩效创新型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明显</w:t>
            </w: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明显</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100%</w:t>
            </w: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100%</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列入发展规划</w:t>
            </w: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列入发展规划</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不涉及</w:t>
            </w: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不涉及</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建设中</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市民满意率</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90%</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781" w:type="pct"/>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459" w:type="pct"/>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852"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929" w:type="pct"/>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满意率</w:t>
            </w:r>
          </w:p>
        </w:tc>
        <w:tc>
          <w:tcPr>
            <w:tcW w:w="418" w:type="pct"/>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437" w:type="pc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35" w:type="pct"/>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90%</w:t>
            </w:r>
          </w:p>
        </w:tc>
        <w:tc>
          <w:tcPr>
            <w:tcW w:w="294" w:type="pct"/>
            <w:gridSpan w:val="3"/>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历史标准</w:t>
            </w:r>
          </w:p>
        </w:tc>
        <w:tc>
          <w:tcPr>
            <w:tcW w:w="288" w:type="pct"/>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绩效基本型</w:t>
            </w:r>
          </w:p>
        </w:tc>
      </w:tr>
    </w:tbl>
    <w:p>
      <w:pPr>
        <w:rPr>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1995F2"/>
    <w:multiLevelType w:val="singleLevel"/>
    <w:tmpl w:val="3A1995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NmY3Njg3NThiZDI3ZTUzNTk3M2FlMGFlM2ZkOGEifQ=="/>
  </w:docVars>
  <w:rsids>
    <w:rsidRoot w:val="2C365954"/>
    <w:rsid w:val="0A3B311A"/>
    <w:rsid w:val="1CA22253"/>
    <w:rsid w:val="20B9399F"/>
    <w:rsid w:val="212C2F24"/>
    <w:rsid w:val="2BBF5FEE"/>
    <w:rsid w:val="2C365954"/>
    <w:rsid w:val="30240E53"/>
    <w:rsid w:val="388B350E"/>
    <w:rsid w:val="5C537F09"/>
    <w:rsid w:val="6C2E1DF8"/>
    <w:rsid w:val="74EA6C82"/>
    <w:rsid w:val="7B9A7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4458</Words>
  <Characters>4789</Characters>
  <Lines>0</Lines>
  <Paragraphs>0</Paragraphs>
  <TotalTime>2</TotalTime>
  <ScaleCrop>false</ScaleCrop>
  <LinksUpToDate>false</LinksUpToDate>
  <CharactersWithSpaces>4841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Lenovo</cp:lastModifiedBy>
  <cp:lastPrinted>2024-01-24T08:44:00Z</cp:lastPrinted>
  <dcterms:modified xsi:type="dcterms:W3CDTF">2024-05-27T07:28:59Z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B9FD5BDAAC8E4E42B05DEB325E45D9B3_13</vt:lpwstr>
  </property>
</Properties>
</file>