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rPr>
        <w:t>填报日期：</w:t>
      </w:r>
      <w:r>
        <w:rPr>
          <w:rFonts w:hint="eastAsia" w:ascii="楷体_GB2312" w:hAnsi="Times New Roman" w:eastAsia="楷体_GB2312"/>
          <w:color w:val="auto"/>
          <w:sz w:val="28"/>
          <w:szCs w:val="28"/>
          <w:highlight w:val="none"/>
          <w:lang w:val="en-US" w:eastAsia="zh-CN"/>
        </w:rPr>
        <w:t>2024</w:t>
      </w:r>
      <w:r>
        <w:rPr>
          <w:rFonts w:hint="eastAsia" w:ascii="楷体_GB2312" w:hAnsi="Times New Roman" w:eastAsia="楷体_GB2312"/>
          <w:color w:val="auto"/>
          <w:sz w:val="28"/>
          <w:szCs w:val="28"/>
          <w:highlight w:val="none"/>
        </w:rPr>
        <w:t>年</w:t>
      </w:r>
      <w:r>
        <w:rPr>
          <w:rFonts w:hint="eastAsia" w:ascii="楷体_GB2312" w:hAnsi="Times New Roman" w:eastAsia="楷体_GB2312"/>
          <w:color w:val="auto"/>
          <w:sz w:val="28"/>
          <w:szCs w:val="28"/>
          <w:highlight w:val="none"/>
          <w:lang w:val="en-US" w:eastAsia="zh-CN"/>
        </w:rPr>
        <w:t>4</w:t>
      </w:r>
      <w:r>
        <w:rPr>
          <w:rFonts w:hint="eastAsia" w:ascii="楷体_GB2312" w:hAnsi="Times New Roman" w:eastAsia="楷体_GB2312"/>
          <w:color w:val="auto"/>
          <w:sz w:val="28"/>
          <w:szCs w:val="28"/>
          <w:highlight w:val="none"/>
        </w:rPr>
        <w:t>月</w:t>
      </w:r>
      <w:r>
        <w:rPr>
          <w:rFonts w:hint="eastAsia" w:ascii="楷体_GB2312" w:hAnsi="Times New Roman" w:eastAsia="楷体_GB2312"/>
          <w:color w:val="auto"/>
          <w:sz w:val="28"/>
          <w:szCs w:val="28"/>
          <w:highlight w:val="none"/>
          <w:lang w:val="en-US" w:eastAsia="zh-CN"/>
        </w:rPr>
        <w:t>9</w:t>
      </w:r>
      <w:r>
        <w:rPr>
          <w:rFonts w:hint="eastAsia" w:ascii="楷体_GB2312" w:hAnsi="Times New Roman" w:eastAsia="楷体_GB2312"/>
          <w:color w:val="auto"/>
          <w:sz w:val="28"/>
          <w:szCs w:val="28"/>
          <w:highlight w:val="none"/>
        </w:rPr>
        <w:t xml:space="preserve">日                </w:t>
      </w:r>
      <w:r>
        <w:rPr>
          <w:rFonts w:hint="eastAsia" w:ascii="楷体_GB2312" w:hAnsi="Times New Roman" w:eastAsia="楷体_GB2312"/>
          <w:color w:val="auto"/>
          <w:sz w:val="28"/>
          <w:szCs w:val="28"/>
          <w:highlight w:val="none"/>
          <w:lang w:val="en-US" w:eastAsia="zh-CN"/>
        </w:rPr>
        <w:t xml:space="preserve">       </w:t>
      </w:r>
      <w:r>
        <w:rPr>
          <w:rFonts w:hint="eastAsia" w:ascii="楷体_GB2312" w:hAnsi="Times New Roman" w:eastAsia="楷体_GB2312"/>
          <w:color w:val="auto"/>
          <w:sz w:val="28"/>
          <w:szCs w:val="28"/>
          <w:highlight w:val="none"/>
        </w:rPr>
        <w:t>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29"/>
        <w:gridCol w:w="794"/>
        <w:gridCol w:w="29"/>
        <w:gridCol w:w="1407"/>
        <w:gridCol w:w="91"/>
        <w:gridCol w:w="1096"/>
        <w:gridCol w:w="569"/>
        <w:gridCol w:w="361"/>
        <w:gridCol w:w="242"/>
        <w:gridCol w:w="147"/>
        <w:gridCol w:w="783"/>
        <w:gridCol w:w="29"/>
        <w:gridCol w:w="930"/>
        <w:gridCol w:w="24"/>
        <w:gridCol w:w="4"/>
        <w:gridCol w:w="500"/>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临空经济区</w:t>
            </w:r>
            <w:r>
              <w:rPr>
                <w:rFonts w:hint="eastAsia" w:ascii="仿宋_GB2312" w:hAnsi="宋体" w:eastAsia="仿宋_GB2312"/>
                <w:color w:val="auto"/>
                <w:kern w:val="0"/>
                <w:highlight w:val="none"/>
                <w:lang w:val="en-US" w:eastAsia="zh-CN"/>
              </w:rPr>
              <w:t>新庙</w:t>
            </w:r>
            <w:r>
              <w:rPr>
                <w:rFonts w:hint="eastAsia" w:ascii="仿宋_GB2312" w:hAnsi="宋体" w:eastAsia="仿宋_GB2312"/>
                <w:color w:val="auto"/>
                <w:kern w:val="0"/>
                <w:highlight w:val="none"/>
              </w:rPr>
              <w:t>镇</w:t>
            </w:r>
            <w:r>
              <w:rPr>
                <w:rFonts w:hint="eastAsia" w:ascii="仿宋_GB2312" w:hAnsi="宋体" w:eastAsia="仿宋_GB2312"/>
                <w:color w:val="auto"/>
                <w:kern w:val="0"/>
                <w:highlight w:val="none"/>
                <w:lang w:eastAsia="zh-CN"/>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2230"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龚婷</w:t>
            </w:r>
          </w:p>
        </w:tc>
        <w:tc>
          <w:tcPr>
            <w:tcW w:w="1187"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103" w:type="dxa"/>
            <w:gridSpan w:val="11"/>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15671987323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417"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172"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417"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172"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9982.29</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11372.19</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9982.29</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11372.19</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rPr>
            </w:pPr>
            <w:r>
              <w:rPr>
                <w:rFonts w:hint="eastAsia" w:ascii="仿宋_GB2312" w:hAnsi="宋体" w:eastAsia="仿宋_GB2312"/>
                <w:color w:val="auto"/>
                <w:kern w:val="0"/>
                <w:highlight w:val="none"/>
                <w:lang w:val="en-US" w:eastAsia="zh-CN"/>
              </w:rPr>
              <w:t>1296.34</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2097.96</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1551.24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8685.95</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ind w:firstLine="210" w:firstLineChars="100"/>
              <w:jc w:val="left"/>
              <w:rPr>
                <w:rFonts w:hint="default" w:ascii="仿宋_GB2312" w:hAnsi="宋体" w:eastAsia="仿宋_GB2312"/>
                <w:color w:val="auto"/>
                <w:kern w:val="0"/>
                <w:highlight w:val="none"/>
                <w:lang w:val="en-US" w:eastAsia="zh-CN"/>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11372.19</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8288.76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9982.29</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13470.15</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ind w:firstLine="105" w:firstLineChars="50"/>
              <w:jc w:val="left"/>
              <w:rPr>
                <w:rFonts w:ascii="仿宋_GB2312" w:hAnsi="宋体" w:eastAsia="仿宋_GB2312"/>
                <w:color w:val="auto"/>
                <w:kern w:val="0"/>
                <w:highlight w:val="none"/>
              </w:rPr>
            </w:pPr>
            <w:r>
              <w:rPr>
                <w:rFonts w:hint="eastAsia" w:ascii="仿宋_GB2312" w:hAnsi="宋体" w:eastAsia="仿宋_GB2312"/>
                <w:color w:val="auto"/>
                <w:kern w:val="0"/>
                <w:highlight w:val="none"/>
                <w:u w:val="none"/>
                <w:lang w:val="en-US" w:eastAsia="zh-CN"/>
              </w:rPr>
              <w:t>1.</w:t>
            </w:r>
            <w:r>
              <w:rPr>
                <w:rFonts w:hint="eastAsia" w:ascii="仿宋_GB2312" w:hAnsi="宋体" w:eastAsia="仿宋_GB2312"/>
                <w:color w:val="auto"/>
                <w:kern w:val="0"/>
                <w:highlight w:val="none"/>
                <w:u w:val="single"/>
              </w:rPr>
              <w:t>执行上级国家行政机关的决定、命令和国家制定的法令、法规，接受同级党委的领导，执行本级人民代表大会的各项决议，并报告执行决议、决定和命令的情况</w:t>
            </w:r>
            <w:r>
              <w:rPr>
                <w:rFonts w:hint="eastAsia" w:ascii="仿宋_GB2312" w:hAnsi="宋体" w:eastAsia="仿宋_GB2312"/>
                <w:color w:val="auto"/>
                <w:kern w:val="0"/>
                <w:highlight w:val="none"/>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lang w:eastAsia="zh-CN"/>
              </w:rPr>
              <w:t>制定社会各项事业发展计划，发展教育、卫生、科技、民政、广播电视、文化、体育事业；组织实施义务教育和其他各类教育；加强计划生育工作；推进社会保障、社会福利事业和养老保险工作；做好劳动管理、科普、老龄及宗教、侨务等工作</w:t>
            </w:r>
            <w:r>
              <w:rPr>
                <w:rFonts w:hint="eastAsia" w:ascii="仿宋_GB2312" w:hAnsi="宋体" w:eastAsia="仿宋_GB2312"/>
                <w:color w:val="auto"/>
                <w:kern w:val="0"/>
                <w:highlight w:val="none"/>
              </w:rPr>
              <w:t>；</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lang w:eastAsia="zh-CN"/>
              </w:rPr>
              <w:t>加强镇级财政的监督和管理，按计划组织、管理镇财政收入和支出，执行国家有关财经纪律和政策，保证国家财政收入的完成;做好统计工作</w:t>
            </w:r>
            <w:r>
              <w:rPr>
                <w:rFonts w:hint="eastAsia" w:ascii="仿宋_GB2312" w:hAnsi="宋体" w:eastAsia="仿宋_GB2312"/>
                <w:color w:val="auto"/>
                <w:kern w:val="0"/>
                <w:highlight w:val="none"/>
              </w:rPr>
              <w:t>；</w:t>
            </w:r>
          </w:p>
          <w:p>
            <w:pPr>
              <w:widowControl/>
              <w:snapToGrid w:val="0"/>
              <w:rPr>
                <w:rFonts w:hint="eastAsia"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lang w:val="en-US" w:eastAsia="zh-CN"/>
              </w:rPr>
              <w:t xml:space="preserve"> 4.</w:t>
            </w:r>
            <w:r>
              <w:rPr>
                <w:rFonts w:hint="eastAsia" w:ascii="仿宋_GB2312" w:hAnsi="宋体" w:eastAsia="仿宋_GB2312"/>
                <w:color w:val="auto"/>
                <w:kern w:val="0"/>
                <w:highlight w:val="none"/>
                <w:u w:val="single"/>
                <w:lang w:val="en-US" w:eastAsia="zh-CN"/>
              </w:rPr>
              <w:t>制定和组织实施镇村建设规划；加强公用、市政设施、水利建设和管理以及房屋土地管理和环境综合整治工作，保护和改善生活环境和生态环境</w:t>
            </w:r>
            <w:r>
              <w:rPr>
                <w:rFonts w:hint="eastAsia" w:ascii="仿宋_GB2312" w:hAnsi="宋体" w:eastAsia="仿宋_GB2312"/>
                <w:color w:val="auto"/>
                <w:kern w:val="0"/>
                <w:highlight w:val="none"/>
                <w:u w:val="none"/>
                <w:lang w:val="en-US" w:eastAsia="zh-CN"/>
              </w:rPr>
              <w:t>；</w:t>
            </w:r>
          </w:p>
          <w:p>
            <w:pPr>
              <w:widowControl/>
              <w:snapToGrid w:val="0"/>
              <w:rPr>
                <w:rFonts w:hint="eastAsia"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u w:val="none"/>
                <w:lang w:val="en-US" w:eastAsia="zh-CN"/>
              </w:rPr>
              <w:t xml:space="preserve"> 5.</w:t>
            </w:r>
            <w:r>
              <w:rPr>
                <w:rFonts w:hint="eastAsia" w:ascii="仿宋_GB2312" w:hAnsi="宋体" w:eastAsia="仿宋_GB2312"/>
                <w:color w:val="auto"/>
                <w:kern w:val="0"/>
                <w:highlight w:val="none"/>
                <w:u w:val="single"/>
                <w:lang w:val="en-US" w:eastAsia="zh-CN"/>
              </w:rPr>
              <w:t>协助和支持设置在本行政区域内不隶属于镇的国家机关和企事业单位工作，监督其遵守和执行国家的法律、法规和政策</w:t>
            </w:r>
            <w:r>
              <w:rPr>
                <w:rFonts w:hint="eastAsia" w:ascii="仿宋_GB2312" w:hAnsi="宋体" w:eastAsia="仿宋_GB2312"/>
                <w:color w:val="auto"/>
                <w:kern w:val="0"/>
                <w:highlight w:val="none"/>
                <w:u w:val="none"/>
                <w:lang w:val="en-US" w:eastAsia="zh-CN"/>
              </w:rPr>
              <w:t>；</w:t>
            </w:r>
          </w:p>
          <w:p>
            <w:pPr>
              <w:widowControl/>
              <w:snapToGrid w:val="0"/>
              <w:rPr>
                <w:rFonts w:hint="default"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u w:val="none"/>
                <w:lang w:val="en-US" w:eastAsia="zh-CN"/>
              </w:rPr>
              <w:t xml:space="preserve"> 6.</w:t>
            </w:r>
            <w:r>
              <w:rPr>
                <w:rFonts w:hint="eastAsia" w:ascii="仿宋_GB2312" w:hAnsi="宋体" w:eastAsia="仿宋_GB2312"/>
                <w:color w:val="auto"/>
                <w:kern w:val="0"/>
                <w:highlight w:val="none"/>
                <w:u w:val="single"/>
                <w:lang w:val="en-US" w:eastAsia="zh-CN"/>
              </w:rPr>
              <w:t>承办上级人民政府交办的其它事项。</w:t>
            </w:r>
            <w:r>
              <w:rPr>
                <w:rFonts w:hint="eastAsia" w:ascii="仿宋_GB2312" w:hAnsi="宋体" w:eastAsia="仿宋_GB2312"/>
                <w:color w:val="auto"/>
                <w:kern w:val="0"/>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jc w:val="left"/>
              <w:rPr>
                <w:rFonts w:ascii="仿宋_GB2312" w:hAnsi="宋体" w:eastAsia="仿宋_GB2312"/>
                <w:color w:val="auto"/>
                <w:kern w:val="0"/>
                <w:highlight w:val="none"/>
                <w:u w:val="none"/>
              </w:rPr>
            </w:pPr>
            <w:r>
              <w:rPr>
                <w:rFonts w:hint="eastAsia" w:ascii="仿宋_GB2312" w:hAnsi="宋体" w:eastAsia="仿宋_GB2312"/>
                <w:color w:val="auto"/>
                <w:kern w:val="0"/>
                <w:highlight w:val="none"/>
              </w:rPr>
              <w:t xml:space="preserve"> 1.</w:t>
            </w:r>
            <w:r>
              <w:rPr>
                <w:rFonts w:hint="eastAsia" w:ascii="仿宋_GB2312" w:hAnsi="宋体" w:eastAsia="仿宋_GB2312"/>
                <w:color w:val="auto"/>
                <w:kern w:val="0"/>
                <w:highlight w:val="none"/>
                <w:u w:val="single"/>
                <w:lang w:eastAsia="zh-CN"/>
              </w:rPr>
              <w:t>加强党建工作，在基层建设中充分发 挥党的核心地位和作用；保障镇政府在职人员的正常办公、生活秩序；立足服务民生，提高规划服务质量</w:t>
            </w:r>
            <w:r>
              <w:rPr>
                <w:rFonts w:hint="eastAsia" w:ascii="仿宋_GB2312" w:hAnsi="宋体" w:eastAsia="仿宋_GB2312"/>
                <w:color w:val="auto"/>
                <w:kern w:val="0"/>
                <w:highlight w:val="none"/>
                <w:u w:val="none"/>
                <w:lang w:eastAsia="zh-CN"/>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lang w:eastAsia="zh-CN"/>
              </w:rPr>
              <w:t>注重管理质量，提升审批效能；加大管理力度，强化依法行政能力；强日常规划执法监管</w:t>
            </w:r>
            <w:r>
              <w:rPr>
                <w:rFonts w:hint="eastAsia" w:ascii="仿宋_GB2312" w:hAnsi="宋体" w:eastAsia="仿宋_GB2312"/>
                <w:color w:val="auto"/>
                <w:kern w:val="0"/>
                <w:highlight w:val="none"/>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lang w:eastAsia="zh-CN"/>
              </w:rPr>
              <w:t>加强建设项目批后跟踪管理。严格审批，加强全镇建设管理</w:t>
            </w:r>
            <w:r>
              <w:rPr>
                <w:rFonts w:hint="eastAsia" w:ascii="仿宋_GB2312" w:hAnsi="宋体" w:eastAsia="仿宋_GB2312"/>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ascii="仿宋_GB2312" w:hAnsi="宋体" w:eastAsia="仿宋_GB2312" w:cs="仿宋_GB2312"/>
                <w:color w:val="auto"/>
                <w:kern w:val="0"/>
                <w:highlight w:val="none"/>
              </w:rPr>
              <w:t xml:space="preserve"> </w:t>
            </w:r>
            <w:r>
              <w:rPr>
                <w:rFonts w:hint="eastAsia" w:ascii="仿宋_GB2312" w:hAnsi="宋体" w:eastAsia="仿宋_GB2312" w:cs="仿宋_GB2312"/>
                <w:color w:val="auto"/>
                <w:kern w:val="0"/>
                <w:highlight w:val="none"/>
              </w:rPr>
              <w:t>年）</w:t>
            </w:r>
          </w:p>
        </w:tc>
        <w:tc>
          <w:tcPr>
            <w:tcW w:w="7549" w:type="dxa"/>
            <w:gridSpan w:val="17"/>
            <w:tcMar>
              <w:left w:w="57" w:type="dxa"/>
              <w:right w:w="57" w:type="dxa"/>
            </w:tcMar>
            <w:vAlign w:val="center"/>
          </w:tcPr>
          <w:p>
            <w:pPr>
              <w:widowControl/>
              <w:snapToGrid w:val="0"/>
              <w:jc w:val="left"/>
              <w:rPr>
                <w:rFonts w:hint="eastAsia" w:ascii="仿宋_GB2312" w:hAnsi="宋体" w:eastAsia="仿宋_GB2312" w:cs="仿宋_GB2312"/>
                <w:kern w:val="0"/>
                <w:lang w:eastAsia="zh-CN"/>
              </w:rPr>
            </w:pPr>
            <w:r>
              <w:rPr>
                <w:rFonts w:hint="eastAsia" w:ascii="仿宋_GB2312" w:hAnsi="宋体" w:eastAsia="仿宋_GB2312" w:cs="仿宋_GB2312"/>
                <w:kern w:val="0"/>
                <w:lang w:eastAsia="zh-CN"/>
              </w:rPr>
              <w:t>目标1：保障镇政府在职人员的正常办公、生活秩序；</w:t>
            </w:r>
          </w:p>
          <w:p>
            <w:pPr>
              <w:widowControl/>
              <w:snapToGrid w:val="0"/>
              <w:jc w:val="left"/>
              <w:rPr>
                <w:rFonts w:hint="eastAsia" w:ascii="仿宋_GB2312" w:hAnsi="宋体" w:eastAsia="仿宋_GB2312" w:cs="仿宋_GB2312"/>
                <w:kern w:val="0"/>
                <w:lang w:eastAsia="zh-CN"/>
              </w:rPr>
            </w:pPr>
            <w:r>
              <w:rPr>
                <w:rFonts w:hint="eastAsia" w:ascii="仿宋_GB2312" w:hAnsi="宋体" w:eastAsia="仿宋_GB2312" w:cs="仿宋_GB2312"/>
                <w:kern w:val="0"/>
                <w:lang w:eastAsia="zh-CN"/>
              </w:rPr>
              <w:t>目标2：立足服务民生，提高规划服务质量。一是完善工作制度。二是优化审批服务流程。三是注重管理质量，提升审批效能；</w:t>
            </w:r>
          </w:p>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kern w:val="0"/>
                <w:lang w:eastAsia="zh-CN"/>
              </w:rPr>
              <w:t>目标3：加大管理力度，强化依法行政能力。一是加强日常规划执法监管。二是加强建设项目批后跟踪管理。三是严格审批，加强景乡建设管理。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完全相符</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健全</w:t>
            </w:r>
          </w:p>
        </w:tc>
        <w:tc>
          <w:tcPr>
            <w:tcW w:w="987"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eastAsia="zh-CN"/>
              </w:rPr>
              <w:t>科学</w:t>
            </w:r>
          </w:p>
        </w:tc>
        <w:tc>
          <w:tcPr>
            <w:tcW w:w="987"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合理</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30%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w:t>
            </w:r>
            <w:r>
              <w:rPr>
                <w:rFonts w:hint="eastAsia" w:ascii="仿宋_GB2312" w:hAnsi="宋体" w:eastAsia="仿宋_GB2312"/>
                <w:color w:val="auto"/>
                <w:kern w:val="0"/>
                <w:highlight w:val="none"/>
                <w:lang w:val="en-US" w:eastAsia="zh-CN"/>
              </w:rPr>
              <w:t>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合理</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80%</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75%</w:t>
            </w:r>
          </w:p>
        </w:tc>
        <w:tc>
          <w:tcPr>
            <w:tcW w:w="987"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基本合规</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预算资金支出率</w:t>
            </w:r>
          </w:p>
        </w:tc>
        <w:tc>
          <w:tcPr>
            <w:tcW w:w="1533" w:type="dxa"/>
            <w:gridSpan w:val="4"/>
            <w:tcMar>
              <w:left w:w="57" w:type="dxa"/>
              <w:right w:w="57" w:type="dxa"/>
            </w:tcMar>
            <w:vAlign w:val="center"/>
          </w:tcPr>
          <w:p>
            <w:pPr>
              <w:widowControl/>
              <w:snapToGrid w:val="0"/>
              <w:jc w:val="center"/>
              <w:rPr>
                <w:rFonts w:hint="default" w:ascii="仿宋_GB2312" w:hAnsi="宋体" w:eastAsia="宋体"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项目成本增长率</w:t>
            </w:r>
          </w:p>
        </w:tc>
        <w:tc>
          <w:tcPr>
            <w:tcW w:w="1533" w:type="dxa"/>
            <w:gridSpan w:val="4"/>
            <w:tcMar>
              <w:left w:w="57" w:type="dxa"/>
              <w:right w:w="57" w:type="dxa"/>
            </w:tcMar>
            <w:vAlign w:val="center"/>
          </w:tcPr>
          <w:p>
            <w:pPr>
              <w:widowControl/>
              <w:snapToGrid w:val="0"/>
              <w:jc w:val="center"/>
              <w:rPr>
                <w:rFonts w:hint="default" w:ascii="仿宋_GB2312" w:hAnsi="宋体" w:eastAsia="宋体"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rPr>
              <w:t>群众业务便捷度</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提升</w:t>
            </w:r>
          </w:p>
        </w:tc>
        <w:tc>
          <w:tcPr>
            <w:tcW w:w="987" w:type="dxa"/>
            <w:gridSpan w:val="4"/>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能耗水平</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降低</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提高</w:t>
            </w:r>
          </w:p>
        </w:tc>
        <w:tc>
          <w:tcPr>
            <w:tcW w:w="987" w:type="dxa"/>
            <w:gridSpan w:val="4"/>
            <w:tcMar>
              <w:left w:w="57" w:type="dxa"/>
              <w:right w:w="57" w:type="dxa"/>
            </w:tcMar>
            <w:vAlign w:val="center"/>
          </w:tcPr>
          <w:p>
            <w:pPr>
              <w:widowControl/>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75%</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完善</w:t>
            </w:r>
          </w:p>
        </w:tc>
        <w:tc>
          <w:tcPr>
            <w:tcW w:w="987" w:type="dxa"/>
            <w:gridSpan w:val="4"/>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25%</w:t>
            </w:r>
          </w:p>
        </w:tc>
        <w:tc>
          <w:tcPr>
            <w:tcW w:w="987" w:type="dxa"/>
            <w:gridSpan w:val="4"/>
            <w:tcMar>
              <w:left w:w="57" w:type="dxa"/>
              <w:right w:w="57" w:type="dxa"/>
            </w:tcMar>
            <w:vAlign w:val="center"/>
          </w:tcPr>
          <w:p>
            <w:pPr>
              <w:widowControl/>
              <w:snapToGrid w:val="0"/>
              <w:jc w:val="both"/>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实际指标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完善</w:t>
            </w:r>
          </w:p>
        </w:tc>
        <w:tc>
          <w:tcPr>
            <w:tcW w:w="987" w:type="dxa"/>
            <w:gridSpan w:val="4"/>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群众满意度</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85%</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相关部门合作满意度</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cs="宋体"/>
                <w:color w:val="auto"/>
                <w:kern w:val="0"/>
                <w:highlight w:val="none"/>
                <w:lang w:val="en-US" w:eastAsia="zh-CN"/>
              </w:rPr>
              <w:t>90</w:t>
            </w:r>
            <w:r>
              <w:rPr>
                <w:rFonts w:hint="eastAsia" w:ascii="仿宋_GB2312" w:hAnsi="宋体" w:eastAsia="仿宋_GB2312" w:cs="仿宋_GB2312"/>
                <w:color w:val="auto"/>
                <w:kern w:val="0"/>
                <w:highlight w:val="none"/>
                <w:lang w:val="en-US" w:eastAsia="zh-CN"/>
              </w:rPr>
              <w:t>%</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99" w:type="dxa"/>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7549" w:type="dxa"/>
            <w:gridSpan w:val="17"/>
            <w:tcMar>
              <w:left w:w="57" w:type="dxa"/>
              <w:right w:w="57" w:type="dxa"/>
            </w:tcMar>
            <w:vAlign w:val="center"/>
          </w:tcPr>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s="仿宋_GB2312"/>
                <w:kern w:val="0"/>
                <w:lang w:eastAsia="zh-CN"/>
              </w:rPr>
              <w:t>保障镇政府在职人员的正常办公、生活秩序</w:t>
            </w:r>
            <w:r>
              <w:rPr>
                <w:rFonts w:hint="eastAsia" w:ascii="仿宋_GB2312" w:hAnsi="宋体" w:eastAsia="仿宋_GB2312" w:cs="仿宋_GB2312"/>
                <w:kern w:val="0"/>
                <w:lang w:val="en-US" w:eastAsia="zh-CN"/>
              </w:rPr>
              <w:t>;保障全镇各行各业正常运转。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361" w:type="dxa"/>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31" w:type="dxa"/>
            <w:gridSpan w:val="5"/>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528"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28"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相符</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相符</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完全相符</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健全</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健全</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健全</w:t>
            </w:r>
          </w:p>
        </w:tc>
        <w:tc>
          <w:tcPr>
            <w:tcW w:w="528" w:type="dxa"/>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科学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科学</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auto"/>
                <w:kern w:val="0"/>
                <w:highlight w:val="none"/>
                <w:lang w:eastAsia="zh-CN"/>
              </w:rPr>
              <w:t>科学</w:t>
            </w:r>
          </w:p>
        </w:tc>
        <w:tc>
          <w:tcPr>
            <w:tcW w:w="528" w:type="dxa"/>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基本合理</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合理</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规范</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规范</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30%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72%</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w:t>
            </w:r>
            <w:r>
              <w:rPr>
                <w:rFonts w:hint="eastAsia" w:ascii="仿宋_GB2312" w:hAnsi="宋体" w:eastAsia="仿宋_GB2312"/>
                <w:color w:val="auto"/>
                <w:kern w:val="0"/>
                <w:highlight w:val="none"/>
                <w:lang w:val="en-US" w:eastAsia="zh-CN"/>
              </w:rPr>
              <w:t>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合理</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75%</w:t>
            </w:r>
          </w:p>
        </w:tc>
        <w:tc>
          <w:tcPr>
            <w:tcW w:w="528" w:type="dxa"/>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基本合规</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基本合规</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基本合规</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预算资金支出率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87%</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77%</w:t>
            </w:r>
          </w:p>
        </w:tc>
        <w:tc>
          <w:tcPr>
            <w:tcW w:w="959" w:type="dxa"/>
            <w:gridSpan w:val="2"/>
            <w:tcMar>
              <w:left w:w="57" w:type="dxa"/>
              <w:right w:w="57" w:type="dxa"/>
            </w:tcMar>
            <w:vAlign w:val="center"/>
          </w:tcPr>
          <w:p>
            <w:pPr>
              <w:widowControl/>
              <w:snapToGrid w:val="0"/>
              <w:jc w:val="center"/>
              <w:rPr>
                <w:rFonts w:hint="default" w:ascii="仿宋_GB2312" w:hAnsi="宋体" w:eastAsia="宋体"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项目成本增长率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15%</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20%</w:t>
            </w:r>
          </w:p>
        </w:tc>
        <w:tc>
          <w:tcPr>
            <w:tcW w:w="959" w:type="dxa"/>
            <w:gridSpan w:val="2"/>
            <w:tcMar>
              <w:left w:w="57" w:type="dxa"/>
              <w:right w:w="57" w:type="dxa"/>
            </w:tcMar>
            <w:vAlign w:val="center"/>
          </w:tcPr>
          <w:p>
            <w:pPr>
              <w:widowControl/>
              <w:snapToGrid w:val="0"/>
              <w:jc w:val="center"/>
              <w:rPr>
                <w:rFonts w:hint="default" w:ascii="仿宋_GB2312" w:hAnsi="宋体" w:eastAsia="宋体"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rPr>
              <w:t>群众业务便捷度</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提升</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提升</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提升</w:t>
            </w:r>
          </w:p>
        </w:tc>
        <w:tc>
          <w:tcPr>
            <w:tcW w:w="528" w:type="dxa"/>
            <w:gridSpan w:val="3"/>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能耗水平</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降低</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降低</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降低</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bookmarkStart w:id="0" w:name="_GoBack"/>
            <w:bookmarkEnd w:id="0"/>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服务体制改革成效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提高</w:t>
            </w:r>
          </w:p>
        </w:tc>
        <w:tc>
          <w:tcPr>
            <w:tcW w:w="528" w:type="dxa"/>
            <w:gridSpan w:val="3"/>
            <w:tcMar>
              <w:left w:w="57" w:type="dxa"/>
              <w:right w:w="57" w:type="dxa"/>
            </w:tcMar>
            <w:vAlign w:val="center"/>
          </w:tcPr>
          <w:p>
            <w:pPr>
              <w:widowControl/>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行政管理体制改革成效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提高</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业务学习与培训完成率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70%</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75%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75%</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干部队伍体系建设规划情况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完善</w:t>
            </w:r>
          </w:p>
        </w:tc>
        <w:tc>
          <w:tcPr>
            <w:tcW w:w="528" w:type="dxa"/>
            <w:gridSpan w:val="3"/>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高学历、高层次人才储备率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10%</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20%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25%</w:t>
            </w:r>
          </w:p>
        </w:tc>
        <w:tc>
          <w:tcPr>
            <w:tcW w:w="528" w:type="dxa"/>
            <w:gridSpan w:val="3"/>
            <w:tcMar>
              <w:left w:w="57" w:type="dxa"/>
              <w:right w:w="57" w:type="dxa"/>
            </w:tcMar>
            <w:vAlign w:val="center"/>
          </w:tcPr>
          <w:p>
            <w:pPr>
              <w:widowControl/>
              <w:snapToGrid w:val="0"/>
              <w:jc w:val="both"/>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实际指标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信息化建设情况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完善</w:t>
            </w:r>
          </w:p>
        </w:tc>
        <w:tc>
          <w:tcPr>
            <w:tcW w:w="528" w:type="dxa"/>
            <w:gridSpan w:val="3"/>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群众满意度</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88%</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85%</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相关部门合作满意度</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85%</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cs="宋体"/>
                <w:color w:val="auto"/>
                <w:kern w:val="0"/>
                <w:highlight w:val="none"/>
                <w:lang w:val="en-US" w:eastAsia="zh-CN"/>
              </w:rPr>
              <w:t>90</w:t>
            </w:r>
            <w:r>
              <w:rPr>
                <w:rFonts w:hint="eastAsia" w:ascii="仿宋_GB2312" w:hAnsi="宋体" w:eastAsia="仿宋_GB2312" w:cs="仿宋_GB2312"/>
                <w:color w:val="auto"/>
                <w:kern w:val="0"/>
                <w:highlight w:val="none"/>
                <w:lang w:val="en-US" w:eastAsia="zh-CN"/>
              </w:rPr>
              <w:t>%</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xMjVjMTZkMzE4YWUxMDBhMjAzOWE2N2Q5MjNiNjkifQ=="/>
  </w:docVars>
  <w:rsids>
    <w:rsidRoot w:val="2C365954"/>
    <w:rsid w:val="02230AC7"/>
    <w:rsid w:val="02E15A24"/>
    <w:rsid w:val="039801A2"/>
    <w:rsid w:val="06520EFF"/>
    <w:rsid w:val="0ED76366"/>
    <w:rsid w:val="14436416"/>
    <w:rsid w:val="1CA22253"/>
    <w:rsid w:val="212C2F24"/>
    <w:rsid w:val="247C0775"/>
    <w:rsid w:val="26130CDD"/>
    <w:rsid w:val="267F71EB"/>
    <w:rsid w:val="27CF4224"/>
    <w:rsid w:val="27DE6DBF"/>
    <w:rsid w:val="2A456FB7"/>
    <w:rsid w:val="2C365954"/>
    <w:rsid w:val="2D1D7530"/>
    <w:rsid w:val="2E2846AC"/>
    <w:rsid w:val="30240E53"/>
    <w:rsid w:val="3236068C"/>
    <w:rsid w:val="355C0080"/>
    <w:rsid w:val="388B350E"/>
    <w:rsid w:val="39DB4368"/>
    <w:rsid w:val="456057EF"/>
    <w:rsid w:val="48CC204F"/>
    <w:rsid w:val="4C7649AB"/>
    <w:rsid w:val="4C8C73CE"/>
    <w:rsid w:val="51D75266"/>
    <w:rsid w:val="540E5402"/>
    <w:rsid w:val="57782FAD"/>
    <w:rsid w:val="68727968"/>
    <w:rsid w:val="6A452C27"/>
    <w:rsid w:val="6B1B22C3"/>
    <w:rsid w:val="71F254CD"/>
    <w:rsid w:val="76AB6DEC"/>
    <w:rsid w:val="798E53DB"/>
    <w:rsid w:val="7B9A7BAE"/>
    <w:rsid w:val="7F420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四又</cp:lastModifiedBy>
  <cp:lastPrinted>2024-01-24T08:44:00Z</cp:lastPrinted>
  <dcterms:modified xsi:type="dcterms:W3CDTF">2024-04-09T08:11:55Z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43F9414D894B4390A776B078D037D1A5_13</vt:lpwstr>
  </property>
</Properties>
</file>