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方正小标宋简体" w:hAnsi="Times New Roman" w:eastAsia="方正小标宋简体" w:cs="Times New Roman"/>
          <w:color w:val="auto"/>
          <w:sz w:val="40"/>
          <w:szCs w:val="40"/>
          <w:highlight w:val="none"/>
        </w:rPr>
      </w:pPr>
      <w:r>
        <w:rPr>
          <w:rFonts w:hint="eastAsia" w:ascii="方正小标宋简体" w:hAnsi="Times New Roman" w:eastAsia="方正小标宋简体" w:cs="Times New Roman"/>
          <w:color w:val="auto"/>
          <w:sz w:val="40"/>
          <w:szCs w:val="40"/>
          <w:highlight w:val="none"/>
        </w:rPr>
        <w:t>部门整体绩效目标申报表</w:t>
      </w:r>
    </w:p>
    <w:p>
      <w:pPr>
        <w:widowControl/>
        <w:spacing w:before="156" w:beforeLines="50"/>
        <w:rPr>
          <w:rFonts w:ascii="楷体_GB2312" w:hAnsi="Times New Roman" w:eastAsia="楷体_GB2312" w:cs="Times New Roman"/>
          <w:color w:val="auto"/>
          <w:sz w:val="28"/>
          <w:szCs w:val="28"/>
          <w:highlight w:val="none"/>
        </w:rPr>
      </w:pP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</w:rPr>
        <w:t>填报日期：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  <w:lang w:val="en-US" w:eastAsia="zh-CN"/>
        </w:rPr>
        <w:t>2024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</w:rPr>
        <w:t xml:space="preserve">年 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  <w:lang w:val="en-US" w:eastAsia="zh-CN"/>
        </w:rPr>
        <w:t>3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</w:rPr>
        <w:t xml:space="preserve"> 月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  <w:lang w:val="en-US" w:eastAsia="zh-CN"/>
        </w:rPr>
        <w:t>26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</w:rPr>
        <w:t xml:space="preserve"> 日                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  <w:lang w:val="en-US" w:eastAsia="zh-CN"/>
        </w:rPr>
        <w:t xml:space="preserve">       </w:t>
      </w:r>
      <w:r>
        <w:rPr>
          <w:rFonts w:hint="eastAsia" w:ascii="楷体_GB2312" w:hAnsi="Times New Roman" w:eastAsia="楷体_GB2312"/>
          <w:color w:val="auto"/>
          <w:sz w:val="28"/>
          <w:szCs w:val="28"/>
          <w:highlight w:val="none"/>
        </w:rPr>
        <w:t>单位：万元</w:t>
      </w:r>
    </w:p>
    <w:tbl>
      <w:tblPr>
        <w:tblStyle w:val="3"/>
        <w:tblW w:w="894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4"/>
        <w:gridCol w:w="878"/>
        <w:gridCol w:w="29"/>
        <w:gridCol w:w="1407"/>
        <w:gridCol w:w="91"/>
        <w:gridCol w:w="1096"/>
        <w:gridCol w:w="569"/>
        <w:gridCol w:w="361"/>
        <w:gridCol w:w="242"/>
        <w:gridCol w:w="147"/>
        <w:gridCol w:w="783"/>
        <w:gridCol w:w="29"/>
        <w:gridCol w:w="930"/>
        <w:gridCol w:w="24"/>
        <w:gridCol w:w="4"/>
        <w:gridCol w:w="500"/>
        <w:gridCol w:w="5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部门（单位）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名称</w:t>
            </w:r>
          </w:p>
        </w:tc>
        <w:tc>
          <w:tcPr>
            <w:tcW w:w="7604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临空经济区燕矶镇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中心学校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填报人</w:t>
            </w:r>
          </w:p>
        </w:tc>
        <w:tc>
          <w:tcPr>
            <w:tcW w:w="231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黄小琴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联系电话</w:t>
            </w:r>
          </w:p>
        </w:tc>
        <w:tc>
          <w:tcPr>
            <w:tcW w:w="4103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15172387928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部门总体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资金情况</w:t>
            </w:r>
          </w:p>
        </w:tc>
        <w:tc>
          <w:tcPr>
            <w:tcW w:w="3501" w:type="dxa"/>
            <w:gridSpan w:val="5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总体资金情况</w:t>
            </w:r>
          </w:p>
        </w:tc>
        <w:tc>
          <w:tcPr>
            <w:tcW w:w="1172" w:type="dxa"/>
            <w:gridSpan w:val="3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当年金额</w:t>
            </w:r>
          </w:p>
        </w:tc>
        <w:tc>
          <w:tcPr>
            <w:tcW w:w="959" w:type="dxa"/>
            <w:gridSpan w:val="3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占比</w:t>
            </w:r>
          </w:p>
        </w:tc>
        <w:tc>
          <w:tcPr>
            <w:tcW w:w="197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近两年收支金额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3501" w:type="dxa"/>
            <w:gridSpan w:val="5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172" w:type="dxa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9" w:type="dxa"/>
            <w:gridSpan w:val="3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val="en-US" w:eastAsia="zh-CN"/>
              </w:rPr>
              <w:t>2022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年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val="en-US" w:eastAsia="zh-CN"/>
              </w:rPr>
              <w:t>2023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07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收入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构成</w:t>
            </w: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财政拨款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7376.37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4330.58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5227.35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07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财政专户管理资金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07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单位资金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07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合  计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7376.37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100%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4330.58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5227.35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07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支出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构成</w:t>
            </w: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人员类项目支出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4814.73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65.27%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3103.91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3682.42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07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运转类项目支出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528.63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ind w:firstLine="210" w:firstLineChars="100"/>
              <w:jc w:val="left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7.17%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1226.67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1544.93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07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特定目标类项目支出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2033.01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27.56%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907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59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合  计</w:t>
            </w:r>
          </w:p>
        </w:tc>
        <w:tc>
          <w:tcPr>
            <w:tcW w:w="117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7376.37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9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100%</w:t>
            </w:r>
          </w:p>
        </w:tc>
        <w:tc>
          <w:tcPr>
            <w:tcW w:w="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4330.58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  <w:tc>
          <w:tcPr>
            <w:tcW w:w="1018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5227.35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部门职能概述</w:t>
            </w:r>
          </w:p>
        </w:tc>
        <w:tc>
          <w:tcPr>
            <w:tcW w:w="7604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宋体" w:hAnsi="宋体"/>
                <w:color w:val="auto"/>
                <w:kern w:val="0"/>
                <w:highlight w:val="none"/>
              </w:rPr>
              <w:t> </w:t>
            </w:r>
          </w:p>
          <w:p>
            <w:pPr>
              <w:widowControl/>
              <w:snapToGrid w:val="0"/>
              <w:ind w:firstLine="105" w:firstLineChars="5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none"/>
                <w:lang w:val="en-US" w:eastAsia="zh-CN"/>
              </w:rPr>
              <w:t>1.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eastAsia="zh-CN"/>
              </w:rPr>
              <w:t>研究拟定全镇教育发展战略和教育工作的规定、办法；监督和检查所属学校对党和国家的教育方针、政策、法规的贯彻执行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；</w:t>
            </w:r>
          </w:p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 xml:space="preserve"> 2.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eastAsia="zh-CN"/>
              </w:rPr>
              <w:t>管理和指导全镇教育教学研究工作；规划、指导教育现代化和教育信息化工作；发挥中、小学教研中心作用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；</w:t>
            </w:r>
          </w:p>
          <w:p>
            <w:pPr>
              <w:widowControl/>
              <w:snapToGrid w:val="0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 xml:space="preserve"> 3.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eastAsia="zh-CN"/>
              </w:rPr>
              <w:t>组织全镇中、小学教师开展教育教学研究课、教学观摩、教学竞赛、课题实验、经验交流、教学基本功训练、专题研讨等教研活动，发挥中小学教师进修培训作用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；</w:t>
            </w:r>
          </w:p>
          <w:p>
            <w:pPr>
              <w:widowControl/>
              <w:snapToGrid w:val="0"/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 xml:space="preserve"> 4.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val="en-US" w:eastAsia="zh-CN"/>
              </w:rPr>
              <w:t>管理中小学学籍。建立全乡镇适龄儿童、少年档案，掌握全镇每学年适龄儿童、适龄少年人数，严格控制学生辍学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none"/>
                <w:lang w:val="en-US" w:eastAsia="zh-CN"/>
              </w:rPr>
              <w:t>；</w:t>
            </w:r>
          </w:p>
          <w:p>
            <w:pPr>
              <w:widowControl/>
              <w:snapToGrid w:val="0"/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none"/>
                <w:lang w:val="en-US" w:eastAsia="zh-CN"/>
              </w:rPr>
              <w:t xml:space="preserve"> 5.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val="en-US" w:eastAsia="zh-CN"/>
              </w:rPr>
              <w:t>负责本乡镇中、小学教师的教育教学业务档案的管理、教育统计、教师工资统计、学校报账，管理本部门教育经费；拟定教育经费筹措和管理的规定及财务管理制度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none"/>
                <w:lang w:val="en-US" w:eastAsia="zh-CN"/>
              </w:rPr>
              <w:t>；</w:t>
            </w:r>
          </w:p>
          <w:p>
            <w:pPr>
              <w:widowControl/>
              <w:snapToGrid w:val="0"/>
              <w:rPr>
                <w:rFonts w:hint="default" w:ascii="仿宋_GB2312" w:hAnsi="宋体" w:eastAsia="仿宋_GB2312"/>
                <w:color w:val="auto"/>
                <w:kern w:val="0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none"/>
                <w:lang w:val="en-US" w:eastAsia="zh-CN"/>
              </w:rPr>
              <w:t xml:space="preserve"> 6.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val="en-US" w:eastAsia="zh-CN"/>
              </w:rPr>
              <w:t>自觉接受县教育局、镇党委、政府及党总支的监督与指导，积极承办镇政府及上级主管部门交办的其它事项。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none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年度工作任务</w:t>
            </w:r>
          </w:p>
        </w:tc>
        <w:tc>
          <w:tcPr>
            <w:tcW w:w="7604" w:type="dxa"/>
            <w:gridSpan w:val="1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>
            <w:pPr>
              <w:widowControl/>
              <w:snapToGrid w:val="0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宋体" w:hAnsi="宋体"/>
                <w:color w:val="auto"/>
                <w:kern w:val="0"/>
                <w:highlight w:val="none"/>
              </w:rPr>
              <w:t> </w:t>
            </w:r>
          </w:p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  <w:u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 xml:space="preserve"> 1.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eastAsia="zh-CN"/>
              </w:rPr>
              <w:t>提高教学质量：通过创新教育理念和方法，提高教师教学水平，使学生的综合素质得到全面提升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none"/>
                <w:lang w:eastAsia="zh-CN"/>
              </w:rPr>
              <w:t>；</w:t>
            </w:r>
          </w:p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 xml:space="preserve"> 2.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eastAsia="zh-CN"/>
              </w:rPr>
              <w:t>加强学生思想教育和安全教育：培养学生正确的价值观和道德观念，提高他们的自主学习能力和创造力，举行安全消防演练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；</w:t>
            </w:r>
          </w:p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 xml:space="preserve"> 3.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u w:val="single"/>
                <w:lang w:eastAsia="zh-CN"/>
              </w:rPr>
              <w:t>加强学校管理：加强对教师的培训，提升他们的专业素养，使其具备适应未来教学的变化；加强对教育经费的合理分配，按时申请预算经费保障学校各项业务的正常开展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auto"/>
                <w:kern w:val="0"/>
                <w:highlight w:val="none"/>
              </w:rPr>
              <w:t>长期目标：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  <w:t>（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截止</w:t>
            </w:r>
            <w:r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年）</w:t>
            </w:r>
          </w:p>
        </w:tc>
        <w:tc>
          <w:tcPr>
            <w:tcW w:w="7604" w:type="dxa"/>
            <w:gridSpan w:val="16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目标1：营造清新的校园文化，构建和谐的师生关系，彰显独特的人文情怀，创造优异的教育质量；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目标2：教育教学秩序规范，学生行为习惯良好，校园环境优美，教师办公条件有所改善，教育质量稳步提升；</w:t>
            </w:r>
          </w:p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目标3：学生形成“自我教育、自我发展”的良好意识和行为习惯，教师形成“学习、研究、创新”的科研意识和工作习惯。校园文化富有特色，教育质量保持在全区学校的先进行列。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长期绩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效指标</w:t>
            </w:r>
          </w:p>
        </w:tc>
        <w:tc>
          <w:tcPr>
            <w:tcW w:w="87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一级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二级指标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三级指标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指标值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指标值确定依据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运行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成本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公用经费控制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公用经费控制率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在职人员控制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在职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人员控制率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项目支出成本控制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会议费控制率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预算支出标准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管理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效率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战略管理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中长期规划相符性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工作计划健全性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健全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历史标准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预算编制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预算编制科学性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FF0000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科学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预算编制合理性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立项规范性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预算调整率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预算执行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预算执行率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结转结余率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历史标准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政府采购执行率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非税收入预算完成率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事前绩效评估完成率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绩效目标合理性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绩效监控开展率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80%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绩效评价覆盖率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评价结果应用率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历史标准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资产管理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资产管理制度健全性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资产管理规范性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财务管理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财务管理制度健全性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会计核算规范性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资金使用合规性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基本合规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履职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效能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核心业务产出1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预算资金支出率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宋体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社会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效应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经济效益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项目成本增长率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宋体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  <w:lang w:val="en-US" w:eastAsia="zh-CN"/>
              </w:rPr>
              <w:t>25%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社会效益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学生整体素质水平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提升　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历史指标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生态效益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能耗水平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降低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可持续发展能力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体制机制改革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服务体制改革成效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提高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行政管理体制改革成效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提高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人才支撑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业务学习与培训完成率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干部队伍体系建设规划情况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完善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历史指标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高学历、高层次人才储备率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25%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both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实际指标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科技支撑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信息化建设情况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完善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历史指标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满意度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服务对象满意度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师生满意度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联系部门满意度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相关部门合作满意度</w:t>
            </w: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宋体" w:hAnsi="宋体" w:cs="宋体"/>
                <w:color w:val="auto"/>
                <w:kern w:val="0"/>
                <w:highlight w:val="none"/>
                <w:lang w:val="en-US" w:eastAsia="zh-CN"/>
              </w:rPr>
              <w:t>90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%</w:t>
            </w:r>
          </w:p>
        </w:tc>
        <w:tc>
          <w:tcPr>
            <w:tcW w:w="987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14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34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b/>
                <w:bCs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color w:val="auto"/>
                <w:kern w:val="0"/>
                <w:highlight w:val="none"/>
              </w:rPr>
              <w:t>年度目标：</w:t>
            </w:r>
          </w:p>
        </w:tc>
        <w:tc>
          <w:tcPr>
            <w:tcW w:w="7604" w:type="dxa"/>
            <w:gridSpan w:val="16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保障燕矶镇中、小学教育活动正常运转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年度绩效指标</w:t>
            </w:r>
          </w:p>
        </w:tc>
        <w:tc>
          <w:tcPr>
            <w:tcW w:w="878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一级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二级指标</w:t>
            </w:r>
          </w:p>
        </w:tc>
        <w:tc>
          <w:tcPr>
            <w:tcW w:w="1665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三级指标</w:t>
            </w:r>
          </w:p>
        </w:tc>
        <w:tc>
          <w:tcPr>
            <w:tcW w:w="361" w:type="dxa"/>
            <w:tcBorders>
              <w:right w:val="nil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2131" w:type="dxa"/>
            <w:gridSpan w:val="5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指标值</w:t>
            </w:r>
          </w:p>
        </w:tc>
        <w:tc>
          <w:tcPr>
            <w:tcW w:w="528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指标值确定依据</w:t>
            </w:r>
          </w:p>
        </w:tc>
        <w:tc>
          <w:tcPr>
            <w:tcW w:w="514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指标分类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33" w:type="dxa"/>
            <w:gridSpan w:val="4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近两年指标值</w:t>
            </w:r>
          </w:p>
        </w:tc>
        <w:tc>
          <w:tcPr>
            <w:tcW w:w="959" w:type="dxa"/>
            <w:gridSpan w:val="2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预期当年实现值</w:t>
            </w:r>
          </w:p>
        </w:tc>
        <w:tc>
          <w:tcPr>
            <w:tcW w:w="528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51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u w:val="single"/>
                <w:lang w:val="en-US" w:eastAsia="zh-CN"/>
              </w:rPr>
              <w:t>2022</w:t>
            </w:r>
            <w:r>
              <w:rPr>
                <w:rFonts w:ascii="仿宋_GB2312" w:hAnsi="宋体" w:eastAsia="仿宋_GB2312" w:cs="仿宋_GB2312"/>
                <w:color w:val="auto"/>
                <w:kern w:val="0"/>
                <w:highlight w:val="none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年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u w:val="single"/>
                <w:lang w:val="en-US" w:eastAsia="zh-CN"/>
              </w:rPr>
              <w:t>2023</w:t>
            </w:r>
            <w:r>
              <w:rPr>
                <w:rFonts w:ascii="仿宋_GB2312" w:hAnsi="宋体" w:eastAsia="仿宋_GB2312" w:cs="仿宋_GB2312"/>
                <w:color w:val="auto"/>
                <w:kern w:val="0"/>
                <w:highlight w:val="none"/>
                <w:u w:val="single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年</w:t>
            </w:r>
          </w:p>
        </w:tc>
        <w:tc>
          <w:tcPr>
            <w:tcW w:w="959" w:type="dxa"/>
            <w:gridSpan w:val="2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528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514" w:type="dxa"/>
            <w:vMerge w:val="continue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运行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成本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公用经费控制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公用经费控制率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在职人员控制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在职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人员控制率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项目支出成本控制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会议费控制率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100%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预算支出标准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管理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效率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战略管理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中长期规划相符性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相符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相符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完全相符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工作计划健全性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健全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历史标准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预算编制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预算编制科学性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科学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科学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FF0000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科学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  <w:u w:val="singl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预算编制合理性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基本合理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立项规范性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预算调整率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26%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35%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预算执行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预算执行率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72%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结转结余率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35%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30%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  <w:lang w:val="en-US" w:eastAsia="zh-CN"/>
              </w:rPr>
              <w:t>2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历史标准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政府采购执行率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非税收入预算完成率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90%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事前绩效评估完成率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绩效目标合理性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合理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绩效监控开展率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80%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绩效评价覆盖率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评价结果应用率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历史标准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资产管理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资产管理制度健全性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资产管理规范性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财务管理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财务管理制度健全性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健全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会计核算规范性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规范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资金使用合规性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基本合规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基本合规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基本合规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行业标准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履职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效能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核心业务产出1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预算资金支出率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87%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77%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宋体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社会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效应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经济效益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项目成本增长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15%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20%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宋体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≦</w:t>
            </w: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  <w:lang w:val="en-US" w:eastAsia="zh-CN"/>
              </w:rPr>
              <w:t>25%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计划标准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社会效益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学生整体素质水平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提升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提升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提升　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历史指标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生态效益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能耗水平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降低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降低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Times New Roman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eastAsia="zh-CN"/>
              </w:rPr>
              <w:t>降低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可持续发展能力</w:t>
            </w: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体制机制改革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服务体制改革成效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提高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提高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提高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行政管理体制改革成效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提高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提高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提高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人才支撑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业务学习与培训完成率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70%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75%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干部队伍体系建设规划情况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完善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完善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完善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历史指标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</w:pP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高学历、高层次人才储备率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10%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20%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25%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both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实际指标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科技支撑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信息化建设情况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完善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完善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完善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历史指标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restart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满意度</w:t>
            </w: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服务对象满意度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师生满意度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88%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344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878" w:type="dxa"/>
            <w:vMerge w:val="continue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/>
                <w:color w:val="auto"/>
                <w:kern w:val="0"/>
                <w:highlight w:val="none"/>
              </w:rPr>
            </w:pPr>
          </w:p>
        </w:tc>
        <w:tc>
          <w:tcPr>
            <w:tcW w:w="1527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highlight w:val="none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联系部门满意度</w:t>
            </w:r>
          </w:p>
        </w:tc>
        <w:tc>
          <w:tcPr>
            <w:tcW w:w="1665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eastAsia="zh-CN"/>
              </w:rPr>
              <w:t>相关部门合作满意度</w:t>
            </w:r>
          </w:p>
        </w:tc>
        <w:tc>
          <w:tcPr>
            <w:tcW w:w="750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783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85%</w:t>
            </w:r>
          </w:p>
        </w:tc>
        <w:tc>
          <w:tcPr>
            <w:tcW w:w="959" w:type="dxa"/>
            <w:gridSpan w:val="2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宋体" w:hAnsi="宋体" w:cs="宋体"/>
                <w:color w:val="auto"/>
                <w:kern w:val="0"/>
                <w:highlight w:val="none"/>
                <w:lang w:val="en-US" w:eastAsia="zh-CN"/>
              </w:rPr>
              <w:t>90</w:t>
            </w: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  <w:lang w:val="en-US" w:eastAsia="zh-CN"/>
              </w:rPr>
              <w:t>%</w:t>
            </w:r>
          </w:p>
        </w:tc>
        <w:tc>
          <w:tcPr>
            <w:tcW w:w="528" w:type="dxa"/>
            <w:gridSpan w:val="3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计划指标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514" w:type="dxa"/>
            <w:tcMar>
              <w:left w:w="57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仿宋_GB2312"/>
                <w:color w:val="auto"/>
                <w:kern w:val="0"/>
                <w:sz w:val="21"/>
                <w:szCs w:val="22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color w:val="auto"/>
                <w:kern w:val="0"/>
                <w:highlight w:val="none"/>
              </w:rPr>
              <w:t>绩效基本型</w:t>
            </w:r>
          </w:p>
        </w:tc>
      </w:tr>
    </w:tbl>
    <w:p>
      <w:pPr>
        <w:spacing w:line="600" w:lineRule="exact"/>
        <w:ind w:firstLine="640" w:firstLineChars="200"/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</w:pP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200001F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yZmU5ZDU5NDA0ZTMyNTU4ZTExMWNjYWYzNThkN2QifQ=="/>
  </w:docVars>
  <w:rsids>
    <w:rsidRoot w:val="2C365954"/>
    <w:rsid w:val="02230AC7"/>
    <w:rsid w:val="039801A2"/>
    <w:rsid w:val="04C52B03"/>
    <w:rsid w:val="06520EFF"/>
    <w:rsid w:val="0DD107ED"/>
    <w:rsid w:val="12694132"/>
    <w:rsid w:val="1A5E0CC4"/>
    <w:rsid w:val="1CA22253"/>
    <w:rsid w:val="212C2F24"/>
    <w:rsid w:val="26130CDD"/>
    <w:rsid w:val="27DE6DBF"/>
    <w:rsid w:val="2C365954"/>
    <w:rsid w:val="2E2846AC"/>
    <w:rsid w:val="30240E53"/>
    <w:rsid w:val="34D87969"/>
    <w:rsid w:val="388B350E"/>
    <w:rsid w:val="39DB4368"/>
    <w:rsid w:val="3E850407"/>
    <w:rsid w:val="44EB79E0"/>
    <w:rsid w:val="456057EF"/>
    <w:rsid w:val="48CC204F"/>
    <w:rsid w:val="4BF03456"/>
    <w:rsid w:val="4DCE5EF1"/>
    <w:rsid w:val="540E5402"/>
    <w:rsid w:val="59E42780"/>
    <w:rsid w:val="5CF707E0"/>
    <w:rsid w:val="6A452C27"/>
    <w:rsid w:val="6B1B22C3"/>
    <w:rsid w:val="7B9A7BAE"/>
    <w:rsid w:val="7E775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autoRedefine/>
    <w:qFormat/>
    <w:uiPriority w:val="10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2024-01-24T07:26:00Z</dcterms:created>
  <dc:creator>倒亚指芭绦</dc:creator>
  <cp:lastModifiedBy>Qin、</cp:lastModifiedBy>
  <cp:lastPrinted>2024-01-24T08:44:00Z</cp:lastPrinted>
  <dcterms:modified xsi:type="dcterms:W3CDTF">2024-04-07T08:51:23Z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C490B0DC5B3143549CFA2BA96434B34F_13</vt:lpwstr>
  </property>
</Properties>
</file>