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2024年政府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3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申报单位：杨叶镇政府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政府经费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4508.08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1.白沙村联通1路；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2.S235省道铺设沥青路面工程；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3.2024年民生乡镇配套资金；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4.环境整治；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认真清理部门应收应付款，做好调账处理。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1.进一步加强法治财政建设。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认真做好党建、文明创建、档案提升、惠农资金补贴申报审核工作等。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等线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服务对象满意率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服务对象满意率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ZjdjNTdiNDU2MTQxMDEwMjY0ZTI1MjczNWU4NGYifQ=="/>
  </w:docVars>
  <w:rsids>
    <w:rsidRoot w:val="62E502C3"/>
    <w:rsid w:val="070657E8"/>
    <w:rsid w:val="0D2504F2"/>
    <w:rsid w:val="183A3BDC"/>
    <w:rsid w:val="189510D2"/>
    <w:rsid w:val="1AB03212"/>
    <w:rsid w:val="2203354F"/>
    <w:rsid w:val="39A644CF"/>
    <w:rsid w:val="40CA59B2"/>
    <w:rsid w:val="41146EB1"/>
    <w:rsid w:val="49FC6B0B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2024-04-17T05:22:33Z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4558133444974AEDB23790E0BD5AFFC1_13</vt:lpwstr>
  </property>
</Properties>
</file>