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简体" w:hAnsi="Times New Roman" w:eastAsia="方正小标宋简体" w:cs="Times New Roman"/>
          <w:color w:val="auto"/>
          <w:sz w:val="40"/>
          <w:szCs w:val="40"/>
          <w:highlight w:val="none"/>
        </w:rPr>
      </w:pPr>
      <w:r>
        <w:rPr>
          <w:rFonts w:hint="eastAsia" w:ascii="方正小标宋简体" w:hAnsi="Times New Roman" w:eastAsia="方正小标宋简体" w:cs="Times New Roman"/>
          <w:color w:val="auto"/>
          <w:sz w:val="40"/>
          <w:szCs w:val="40"/>
          <w:highlight w:val="none"/>
        </w:rPr>
        <w:t>部门整体绩效目标申报表</w:t>
      </w:r>
    </w:p>
    <w:p>
      <w:pPr>
        <w:widowControl/>
        <w:spacing w:before="156" w:beforeLines="50"/>
        <w:rPr>
          <w:rFonts w:ascii="楷体_GB2312" w:hAnsi="Times New Roman" w:eastAsia="楷体_GB2312" w:cs="Times New Roman"/>
          <w:color w:val="auto"/>
          <w:sz w:val="28"/>
          <w:szCs w:val="28"/>
          <w:highlight w:val="none"/>
        </w:rPr>
      </w:pPr>
      <w:r>
        <w:rPr>
          <w:rFonts w:hint="eastAsia" w:ascii="楷体_GB2312" w:hAnsi="Times New Roman" w:eastAsia="楷体_GB2312"/>
          <w:color w:val="auto"/>
          <w:sz w:val="28"/>
          <w:szCs w:val="28"/>
          <w:highlight w:val="none"/>
        </w:rPr>
        <w:t xml:space="preserve">填报日期：   </w:t>
      </w:r>
      <w:r>
        <w:rPr>
          <w:rFonts w:hint="eastAsia" w:ascii="楷体_GB2312" w:hAnsi="Times New Roman" w:eastAsia="楷体_GB2312"/>
          <w:color w:val="auto"/>
          <w:sz w:val="28"/>
          <w:szCs w:val="28"/>
          <w:highlight w:val="none"/>
          <w:lang w:val="en-US" w:eastAsia="zh-CN"/>
        </w:rPr>
        <w:t>2024</w:t>
      </w:r>
      <w:r>
        <w:rPr>
          <w:rFonts w:hint="eastAsia" w:ascii="楷体_GB2312" w:hAnsi="Times New Roman" w:eastAsia="楷体_GB2312"/>
          <w:color w:val="auto"/>
          <w:sz w:val="28"/>
          <w:szCs w:val="28"/>
          <w:highlight w:val="none"/>
        </w:rPr>
        <w:t xml:space="preserve"> 年  </w:t>
      </w:r>
      <w:r>
        <w:rPr>
          <w:rFonts w:hint="eastAsia" w:ascii="楷体_GB2312" w:hAnsi="Times New Roman" w:eastAsia="楷体_GB2312"/>
          <w:color w:val="auto"/>
          <w:sz w:val="28"/>
          <w:szCs w:val="28"/>
          <w:highlight w:val="none"/>
          <w:lang w:val="en-US" w:eastAsia="zh-CN"/>
        </w:rPr>
        <w:t>4</w:t>
      </w:r>
      <w:r>
        <w:rPr>
          <w:rFonts w:hint="eastAsia" w:ascii="楷体_GB2312" w:hAnsi="Times New Roman" w:eastAsia="楷体_GB2312"/>
          <w:color w:val="auto"/>
          <w:sz w:val="28"/>
          <w:szCs w:val="28"/>
          <w:highlight w:val="none"/>
        </w:rPr>
        <w:t xml:space="preserve"> 月 </w:t>
      </w:r>
      <w:r>
        <w:rPr>
          <w:rFonts w:hint="eastAsia" w:ascii="楷体_GB2312" w:hAnsi="Times New Roman" w:eastAsia="楷体_GB2312"/>
          <w:color w:val="auto"/>
          <w:sz w:val="28"/>
          <w:szCs w:val="28"/>
          <w:highlight w:val="none"/>
          <w:lang w:val="en-US" w:eastAsia="zh-CN"/>
        </w:rPr>
        <w:t>8</w:t>
      </w:r>
      <w:r>
        <w:rPr>
          <w:rFonts w:hint="eastAsia" w:ascii="楷体_GB2312" w:hAnsi="Times New Roman" w:eastAsia="楷体_GB2312"/>
          <w:color w:val="auto"/>
          <w:sz w:val="28"/>
          <w:szCs w:val="28"/>
          <w:highlight w:val="none"/>
        </w:rPr>
        <w:t xml:space="preserve"> 日         单位：万元</w:t>
      </w:r>
    </w:p>
    <w:tbl>
      <w:tblPr>
        <w:tblStyle w:val="3"/>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29"/>
        <w:gridCol w:w="794"/>
        <w:gridCol w:w="29"/>
        <w:gridCol w:w="1407"/>
        <w:gridCol w:w="91"/>
        <w:gridCol w:w="1096"/>
        <w:gridCol w:w="569"/>
        <w:gridCol w:w="361"/>
        <w:gridCol w:w="242"/>
        <w:gridCol w:w="147"/>
        <w:gridCol w:w="783"/>
        <w:gridCol w:w="959"/>
        <w:gridCol w:w="24"/>
        <w:gridCol w:w="504"/>
        <w:gridCol w:w="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highlight w:val="none"/>
              </w:rPr>
            </w:pPr>
            <w:r>
              <w:rPr>
                <w:rFonts w:hint="eastAsia" w:ascii="仿宋_GB2312" w:hAnsi="宋体" w:eastAsia="仿宋_GB2312"/>
                <w:color w:val="auto"/>
                <w:kern w:val="0"/>
                <w:highlight w:val="none"/>
              </w:rPr>
              <w:t>部门（单位）</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名称</w:t>
            </w:r>
          </w:p>
        </w:tc>
        <w:tc>
          <w:tcPr>
            <w:tcW w:w="7520" w:type="dxa"/>
            <w:gridSpan w:val="1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rPr>
              <w:t>　杨叶镇</w:t>
            </w:r>
            <w:r>
              <w:rPr>
                <w:rFonts w:hint="eastAsia" w:ascii="仿宋_GB2312" w:hAnsi="宋体" w:eastAsia="仿宋_GB2312"/>
                <w:color w:val="auto"/>
                <w:kern w:val="0"/>
                <w:highlight w:val="none"/>
                <w:lang w:val="en-US" w:eastAsia="zh-CN"/>
              </w:rPr>
              <w:t>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填报人</w:t>
            </w:r>
          </w:p>
        </w:tc>
        <w:tc>
          <w:tcPr>
            <w:tcW w:w="2230"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李文龙</w:t>
            </w:r>
            <w:r>
              <w:rPr>
                <w:rFonts w:hint="eastAsia" w:ascii="仿宋_GB2312" w:hAnsi="宋体" w:eastAsia="仿宋_GB2312"/>
                <w:color w:val="auto"/>
                <w:kern w:val="0"/>
                <w:highlight w:val="none"/>
              </w:rPr>
              <w:t>　</w:t>
            </w:r>
          </w:p>
        </w:tc>
        <w:tc>
          <w:tcPr>
            <w:tcW w:w="1187"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联系电话</w:t>
            </w:r>
          </w:p>
        </w:tc>
        <w:tc>
          <w:tcPr>
            <w:tcW w:w="4103" w:type="dxa"/>
            <w:gridSpan w:val="9"/>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0711-2731388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restart"/>
            <w:tcBorders>
              <w:top w:val="nil"/>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部门总体</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资金情况</w:t>
            </w:r>
          </w:p>
        </w:tc>
        <w:tc>
          <w:tcPr>
            <w:tcW w:w="3417" w:type="dxa"/>
            <w:gridSpan w:val="5"/>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总体资金情况</w:t>
            </w:r>
          </w:p>
        </w:tc>
        <w:tc>
          <w:tcPr>
            <w:tcW w:w="1172" w:type="dxa"/>
            <w:gridSpan w:val="3"/>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当年金额</w:t>
            </w:r>
          </w:p>
        </w:tc>
        <w:tc>
          <w:tcPr>
            <w:tcW w:w="930"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占比</w:t>
            </w:r>
          </w:p>
        </w:tc>
        <w:tc>
          <w:tcPr>
            <w:tcW w:w="2001"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近两年收支金额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3417" w:type="dxa"/>
            <w:gridSpan w:val="5"/>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172" w:type="dxa"/>
            <w:gridSpan w:val="3"/>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930"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983"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auto"/>
                <w:kern w:val="0"/>
                <w:highlight w:val="none"/>
                <w:u w:val="single"/>
                <w:lang w:val="en-US" w:eastAsia="zh-CN"/>
              </w:rPr>
              <w:t>2022</w:t>
            </w:r>
            <w:r>
              <w:rPr>
                <w:rFonts w:hint="eastAsia" w:ascii="仿宋_GB2312" w:hAnsi="宋体" w:eastAsia="仿宋_GB2312"/>
                <w:color w:val="auto"/>
                <w:kern w:val="0"/>
                <w:highlight w:val="none"/>
              </w:rPr>
              <w:t>年</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auto"/>
                <w:kern w:val="0"/>
                <w:highlight w:val="none"/>
                <w:u w:val="single"/>
                <w:lang w:val="en-US" w:eastAsia="zh-CN"/>
              </w:rPr>
              <w:t>2023</w:t>
            </w:r>
            <w:r>
              <w:rPr>
                <w:rFonts w:hint="eastAsia" w:ascii="仿宋_GB2312" w:hAnsi="宋体" w:eastAsia="仿宋_GB2312"/>
                <w:color w:val="auto"/>
                <w:kern w:val="0"/>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收入</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构成</w:t>
            </w: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财政拨款</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7995.11　</w:t>
            </w:r>
          </w:p>
        </w:tc>
        <w:tc>
          <w:tcPr>
            <w:tcW w:w="930"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100%</w:t>
            </w:r>
          </w:p>
        </w:tc>
        <w:tc>
          <w:tcPr>
            <w:tcW w:w="983"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11977.21</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7945.69</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财政专户管理资金</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0</w:t>
            </w:r>
          </w:p>
        </w:tc>
        <w:tc>
          <w:tcPr>
            <w:tcW w:w="930"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ind w:firstLine="210" w:firstLineChars="100"/>
              <w:jc w:val="left"/>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0</w:t>
            </w:r>
          </w:p>
        </w:tc>
        <w:tc>
          <w:tcPr>
            <w:tcW w:w="983"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0</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单位资金</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0</w:t>
            </w:r>
          </w:p>
        </w:tc>
        <w:tc>
          <w:tcPr>
            <w:tcW w:w="930"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0</w:t>
            </w:r>
          </w:p>
        </w:tc>
        <w:tc>
          <w:tcPr>
            <w:tcW w:w="983"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0</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  计</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7995.11</w:t>
            </w:r>
            <w:r>
              <w:rPr>
                <w:rFonts w:hint="eastAsia" w:ascii="仿宋_GB2312" w:hAnsi="宋体" w:eastAsia="仿宋_GB2312"/>
                <w:color w:val="auto"/>
                <w:kern w:val="0"/>
                <w:highlight w:val="none"/>
              </w:rPr>
              <w:t>　</w:t>
            </w:r>
          </w:p>
        </w:tc>
        <w:tc>
          <w:tcPr>
            <w:tcW w:w="930"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100%</w:t>
            </w:r>
          </w:p>
        </w:tc>
        <w:tc>
          <w:tcPr>
            <w:tcW w:w="983"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11977.21</w:t>
            </w:r>
            <w:r>
              <w:rPr>
                <w:rFonts w:hint="eastAsia" w:ascii="仿宋_GB2312" w:hAnsi="宋体" w:eastAsia="仿宋_GB2312"/>
                <w:color w:val="auto"/>
                <w:kern w:val="0"/>
                <w:highlight w:val="none"/>
              </w:rPr>
              <w:t>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7945.69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支出</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构成</w:t>
            </w: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人员类项目支出</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3965.54　</w:t>
            </w:r>
          </w:p>
        </w:tc>
        <w:tc>
          <w:tcPr>
            <w:tcW w:w="930"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83"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4757.91</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4035.32</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运转类项目支出</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4029.57</w:t>
            </w:r>
          </w:p>
        </w:tc>
        <w:tc>
          <w:tcPr>
            <w:tcW w:w="930"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p>
        </w:tc>
        <w:tc>
          <w:tcPr>
            <w:tcW w:w="983"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7219.3</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3909.68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特定目标类项目支出</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0</w:t>
            </w:r>
          </w:p>
        </w:tc>
        <w:tc>
          <w:tcPr>
            <w:tcW w:w="930"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83"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r>
              <w:rPr>
                <w:rFonts w:hint="eastAsia" w:ascii="仿宋_GB2312" w:hAnsi="宋体" w:eastAsia="仿宋_GB2312"/>
                <w:color w:val="auto"/>
                <w:kern w:val="0"/>
                <w:highlight w:val="none"/>
              </w:rPr>
              <w:t>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  计</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7995.11</w:t>
            </w:r>
            <w:r>
              <w:rPr>
                <w:rFonts w:hint="eastAsia" w:ascii="仿宋_GB2312" w:hAnsi="宋体" w:eastAsia="仿宋_GB2312"/>
                <w:color w:val="auto"/>
                <w:kern w:val="0"/>
                <w:highlight w:val="none"/>
              </w:rPr>
              <w:t>　</w:t>
            </w:r>
          </w:p>
        </w:tc>
        <w:tc>
          <w:tcPr>
            <w:tcW w:w="930"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100%</w:t>
            </w:r>
          </w:p>
        </w:tc>
        <w:tc>
          <w:tcPr>
            <w:tcW w:w="983"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11977.21</w:t>
            </w:r>
            <w:r>
              <w:rPr>
                <w:rFonts w:hint="eastAsia" w:ascii="仿宋_GB2312" w:hAnsi="宋体" w:eastAsia="仿宋_GB2312"/>
                <w:color w:val="auto"/>
                <w:kern w:val="0"/>
                <w:highlight w:val="none"/>
              </w:rPr>
              <w:t>　</w:t>
            </w:r>
          </w:p>
        </w:tc>
        <w:tc>
          <w:tcPr>
            <w:tcW w:w="101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7945.69</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部门职能概述</w:t>
            </w:r>
          </w:p>
        </w:tc>
        <w:tc>
          <w:tcPr>
            <w:tcW w:w="7520" w:type="dxa"/>
            <w:gridSpan w:val="1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ascii="仿宋_GB2312" w:hAnsi="宋体" w:eastAsia="仿宋_GB2312"/>
                <w:color w:val="auto"/>
                <w:kern w:val="0"/>
                <w:highlight w:val="none"/>
              </w:rPr>
            </w:pPr>
            <w:r>
              <w:rPr>
                <w:rFonts w:hint="eastAsia" w:ascii="宋体" w:hAnsi="宋体"/>
                <w:color w:val="auto"/>
                <w:kern w:val="0"/>
                <w:highlight w:val="none"/>
              </w:rPr>
              <w:t> </w:t>
            </w:r>
          </w:p>
          <w:p>
            <w:pPr>
              <w:widowControl/>
              <w:snapToGrid w:val="0"/>
              <w:rPr>
                <w:rFonts w:ascii="仿宋_GB2312" w:hAnsi="宋体" w:eastAsia="仿宋_GB2312"/>
                <w:color w:val="auto"/>
                <w:kern w:val="0"/>
                <w:highlight w:val="none"/>
              </w:rPr>
            </w:pPr>
            <w:r>
              <w:rPr>
                <w:rFonts w:hint="eastAsia" w:ascii="仿宋_GB2312" w:hAnsi="宋体" w:eastAsia="仿宋_GB2312"/>
                <w:color w:val="auto"/>
                <w:kern w:val="0"/>
                <w:highlight w:val="none"/>
              </w:rPr>
              <w:t>1.管理镇财政收入和支出，定期向镇人大、政府及县财政局报告预算执行情况；</w:t>
            </w:r>
          </w:p>
          <w:p>
            <w:pPr>
              <w:keepNext w:val="0"/>
              <w:keepLines w:val="0"/>
              <w:pageBreakBefore w:val="0"/>
              <w:widowControl/>
              <w:kinsoku/>
              <w:wordWrap/>
              <w:overflowPunct/>
              <w:topLinePunct w:val="0"/>
              <w:autoSpaceDE/>
              <w:autoSpaceDN/>
              <w:bidi/>
              <w:adjustRightInd/>
              <w:snapToGrid w:val="0"/>
              <w:spacing w:line="240" w:lineRule="auto"/>
              <w:jc w:val="right"/>
              <w:textAlignment w:val="auto"/>
              <w:rPr>
                <w:rFonts w:hint="eastAsia" w:ascii="仿宋_GB2312" w:hAnsi="宋体" w:eastAsia="仿宋_GB2312"/>
                <w:color w:val="auto"/>
                <w:kern w:val="0"/>
                <w:highlight w:val="none"/>
                <w:u w:val="single"/>
                <w:lang w:eastAsia="zh-CN"/>
              </w:rPr>
            </w:pPr>
            <w:r>
              <w:rPr>
                <w:rFonts w:hint="eastAsia" w:ascii="仿宋_GB2312" w:hAnsi="宋体" w:eastAsia="仿宋_GB2312"/>
                <w:color w:val="auto"/>
                <w:kern w:val="0"/>
                <w:highlight w:val="none"/>
              </w:rPr>
              <w:t xml:space="preserve"> 2.</w:t>
            </w:r>
            <w:r>
              <w:rPr>
                <w:rFonts w:hint="eastAsia" w:ascii="仿宋_GB2312" w:hAnsi="宋体" w:eastAsia="仿宋_GB2312"/>
                <w:color w:val="auto"/>
                <w:kern w:val="0"/>
                <w:highlight w:val="none"/>
                <w:u w:val="single"/>
              </w:rPr>
              <w:t xml:space="preserve"> 镇财政专项资金的管理及内部审计工作</w:t>
            </w:r>
            <w:r>
              <w:rPr>
                <w:rFonts w:hint="eastAsia" w:ascii="仿宋_GB2312" w:hAnsi="宋体" w:eastAsia="仿宋_GB2312"/>
                <w:color w:val="auto"/>
                <w:kern w:val="0"/>
                <w:highlight w:val="none"/>
                <w:u w:val="single"/>
                <w:lang w:eastAsia="zh-CN"/>
              </w:rPr>
              <w:t>；</w:t>
            </w:r>
          </w:p>
          <w:p>
            <w:pPr>
              <w:keepNext w:val="0"/>
              <w:keepLines w:val="0"/>
              <w:pageBreakBefore w:val="0"/>
              <w:widowControl/>
              <w:kinsoku/>
              <w:wordWrap/>
              <w:overflowPunct/>
              <w:topLinePunct w:val="0"/>
              <w:autoSpaceDE/>
              <w:autoSpaceDN/>
              <w:bidi/>
              <w:adjustRightInd/>
              <w:snapToGrid w:val="0"/>
              <w:spacing w:line="240" w:lineRule="auto"/>
              <w:jc w:val="right"/>
              <w:textAlignment w:val="auto"/>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3.对镇国有资产的登记、处置进行管理，确保镇国有资产安全和保值增值；</w:t>
            </w:r>
          </w:p>
          <w:p>
            <w:pPr>
              <w:widowControl/>
              <w:snapToGrid w:val="0"/>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年度工作任务</w:t>
            </w:r>
          </w:p>
        </w:tc>
        <w:tc>
          <w:tcPr>
            <w:tcW w:w="7520" w:type="dxa"/>
            <w:gridSpan w:val="1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ascii="仿宋_GB2312" w:hAnsi="宋体" w:eastAsia="仿宋_GB2312"/>
                <w:color w:val="auto"/>
                <w:kern w:val="0"/>
                <w:highlight w:val="none"/>
              </w:rPr>
            </w:pPr>
            <w:r>
              <w:rPr>
                <w:rFonts w:hint="eastAsia" w:ascii="宋体" w:hAnsi="宋体"/>
                <w:color w:val="auto"/>
                <w:kern w:val="0"/>
                <w:highlight w:val="none"/>
              </w:rPr>
              <w:t> </w:t>
            </w:r>
          </w:p>
          <w:p>
            <w:pPr>
              <w:keepNext w:val="0"/>
              <w:keepLines w:val="0"/>
              <w:pageBreakBefore w:val="0"/>
              <w:widowControl/>
              <w:kinsoku/>
              <w:wordWrap/>
              <w:overflowPunct/>
              <w:topLinePunct w:val="0"/>
              <w:autoSpaceDE/>
              <w:autoSpaceDN/>
              <w:bidi/>
              <w:adjustRightInd/>
              <w:snapToGrid w:val="0"/>
              <w:textAlignment w:val="auto"/>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1.</w:t>
            </w:r>
            <w:r>
              <w:rPr>
                <w:rFonts w:hint="eastAsia" w:ascii="仿宋_GB2312" w:hAnsi="宋体" w:eastAsia="仿宋_GB2312"/>
                <w:color w:val="auto"/>
                <w:kern w:val="0"/>
                <w:highlight w:val="none"/>
                <w:u w:val="single"/>
              </w:rPr>
              <w:t xml:space="preserve"> 培育和掌握财源                                                      </w:t>
            </w:r>
          </w:p>
          <w:p>
            <w:pPr>
              <w:keepNext w:val="0"/>
              <w:keepLines w:val="0"/>
              <w:pageBreakBefore w:val="0"/>
              <w:widowControl/>
              <w:kinsoku/>
              <w:wordWrap/>
              <w:overflowPunct/>
              <w:topLinePunct w:val="0"/>
              <w:autoSpaceDE/>
              <w:autoSpaceDN/>
              <w:bidi/>
              <w:adjustRightInd/>
              <w:snapToGrid w:val="0"/>
              <w:textAlignment w:val="auto"/>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2.</w:t>
            </w:r>
            <w:r>
              <w:rPr>
                <w:rFonts w:hint="eastAsia" w:ascii="仿宋_GB2312" w:hAnsi="宋体" w:eastAsia="仿宋_GB2312"/>
                <w:color w:val="auto"/>
                <w:kern w:val="0"/>
                <w:highlight w:val="none"/>
                <w:u w:val="single"/>
              </w:rPr>
              <w:t xml:space="preserve">  进一步加强法治财政建设                                             </w:t>
            </w:r>
          </w:p>
          <w:p>
            <w:pPr>
              <w:widowControl/>
              <w:snapToGrid w:val="0"/>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3.认真清理部门和村级历史遗留的应收应付款，做好调账处理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tcMar>
              <w:left w:w="57" w:type="dxa"/>
              <w:right w:w="57" w:type="dxa"/>
            </w:tcMar>
            <w:vAlign w:val="center"/>
          </w:tcPr>
          <w:p>
            <w:pPr>
              <w:widowControl/>
              <w:snapToGrid w:val="0"/>
              <w:jc w:val="center"/>
              <w:rPr>
                <w:rFonts w:ascii="仿宋_GB2312" w:hAnsi="宋体" w:eastAsia="仿宋_GB2312" w:cs="仿宋_GB2312"/>
                <w:b/>
                <w:bCs/>
                <w:color w:val="auto"/>
                <w:kern w:val="0"/>
                <w:highlight w:val="none"/>
              </w:rPr>
            </w:pPr>
            <w:r>
              <w:rPr>
                <w:rFonts w:hint="eastAsia" w:ascii="仿宋_GB2312" w:hAnsi="宋体" w:eastAsia="仿宋_GB2312" w:cs="仿宋_GB2312"/>
                <w:b/>
                <w:bCs/>
                <w:color w:val="auto"/>
                <w:kern w:val="0"/>
                <w:highlight w:val="none"/>
              </w:rPr>
              <w:t>长期目标：</w:t>
            </w:r>
          </w:p>
          <w:p>
            <w:pPr>
              <w:widowControl/>
              <w:snapToGrid w:val="0"/>
              <w:jc w:val="center"/>
              <w:rPr>
                <w:rFonts w:ascii="仿宋_GB2312" w:hAnsi="宋体" w:eastAsia="仿宋_GB2312"/>
                <w:b/>
                <w:bCs/>
                <w:color w:val="auto"/>
                <w:kern w:val="0"/>
                <w:highlight w:val="none"/>
              </w:rPr>
            </w:pPr>
            <w:r>
              <w:rPr>
                <w:rFonts w:ascii="仿宋_GB2312" w:hAnsi="宋体" w:eastAsia="仿宋_GB2312" w:cs="仿宋_GB2312"/>
                <w:color w:val="auto"/>
                <w:kern w:val="0"/>
                <w:highlight w:val="none"/>
              </w:rPr>
              <w:t>（</w:t>
            </w:r>
            <w:r>
              <w:rPr>
                <w:rFonts w:hint="eastAsia" w:ascii="仿宋_GB2312" w:hAnsi="宋体" w:eastAsia="仿宋_GB2312" w:cs="仿宋_GB2312"/>
                <w:color w:val="auto"/>
                <w:kern w:val="0"/>
                <w:highlight w:val="none"/>
              </w:rPr>
              <w:t>截止</w:t>
            </w:r>
            <w:r>
              <w:rPr>
                <w:rFonts w:hint="eastAsia" w:ascii="仿宋_GB2312" w:hAnsi="宋体" w:eastAsia="仿宋_GB2312" w:cs="仿宋_GB2312"/>
                <w:color w:val="auto"/>
                <w:kern w:val="0"/>
                <w:highlight w:val="none"/>
                <w:lang w:val="en-US" w:eastAsia="zh-CN"/>
              </w:rPr>
              <w:t>2024</w:t>
            </w:r>
            <w:r>
              <w:rPr>
                <w:rFonts w:hint="eastAsia" w:ascii="仿宋_GB2312" w:hAnsi="宋体" w:eastAsia="仿宋_GB2312" w:cs="仿宋_GB2312"/>
                <w:color w:val="auto"/>
                <w:kern w:val="0"/>
                <w:highlight w:val="none"/>
              </w:rPr>
              <w:t>年）</w:t>
            </w:r>
          </w:p>
        </w:tc>
        <w:tc>
          <w:tcPr>
            <w:tcW w:w="7549" w:type="dxa"/>
            <w:gridSpan w:val="15"/>
            <w:tcMar>
              <w:left w:w="57" w:type="dxa"/>
              <w:right w:w="57"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　1.进一步加强法治财政建设。2.继续加强农村集体三资管理。3.认真清理部门和村级历史遗留的应收应付款，做好调账处理。4.认真做好党建、文明创建、档案提升、惠农资金补贴申报审核工作等。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长期绩</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效指标</w:t>
            </w:r>
          </w:p>
        </w:tc>
        <w:tc>
          <w:tcPr>
            <w:tcW w:w="82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二级指标</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三级指标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指标值</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指标值确定依据</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公用经费控制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公用经费控制率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在职人员控制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项目支出成本控制</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“三公经费”变动率</w:t>
            </w:r>
          </w:p>
        </w:tc>
        <w:tc>
          <w:tcPr>
            <w:tcW w:w="1533" w:type="dxa"/>
            <w:gridSpan w:val="4"/>
            <w:tcMar>
              <w:left w:w="57" w:type="dxa"/>
              <w:right w:w="57"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FF0000"/>
                <w:kern w:val="0"/>
                <w:highlight w:val="none"/>
                <w:lang w:val="en-US" w:eastAsia="zh-CN"/>
              </w:rPr>
              <w:t>基本相符</w:t>
            </w:r>
          </w:p>
        </w:tc>
        <w:tc>
          <w:tcPr>
            <w:tcW w:w="983"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战略管理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中长期规划相符性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FF0000"/>
                <w:kern w:val="0"/>
                <w:highlight w:val="none"/>
                <w:lang w:val="en-US" w:eastAsia="zh-CN"/>
              </w:rPr>
              <w:t>基本相符</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FF0000"/>
                <w:kern w:val="0"/>
                <w:highlight w:val="none"/>
                <w:lang w:val="en-US" w:eastAsia="zh-CN"/>
              </w:rPr>
              <w:t>基本健全</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预算编制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FF0000"/>
                <w:kern w:val="0"/>
                <w:highlight w:val="none"/>
                <w:lang w:eastAsia="zh-CN"/>
              </w:rPr>
              <w:t>科学</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FF0000"/>
                <w:kern w:val="0"/>
                <w:highlight w:val="none"/>
                <w:lang w:eastAsia="zh-CN"/>
              </w:rPr>
              <w:t>合理</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FF0000"/>
                <w:kern w:val="0"/>
                <w:highlight w:val="none"/>
                <w:lang w:eastAsia="zh-CN"/>
              </w:rPr>
              <w:t>规范</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预算执行</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预算执行率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结转结余率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FF0000"/>
                <w:kern w:val="0"/>
                <w:highlight w:val="none"/>
                <w:lang w:val="en-US" w:eastAsia="zh-CN"/>
              </w:rPr>
              <w:t>基本相符</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健全</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完全合规</w:t>
            </w:r>
          </w:p>
        </w:tc>
        <w:tc>
          <w:tcPr>
            <w:tcW w:w="98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核心业务产出1</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财务管理制度健全性</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完全相符</w:t>
            </w:r>
          </w:p>
        </w:tc>
        <w:tc>
          <w:tcPr>
            <w:tcW w:w="9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核心业务产出2</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评价结果应用率</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val="en-US" w:eastAsia="zh-CN"/>
              </w:rPr>
              <w:t>基本合规</w:t>
            </w:r>
          </w:p>
        </w:tc>
        <w:tc>
          <w:tcPr>
            <w:tcW w:w="9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社会</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效应</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经济效益</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资金使用合规性</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完全相符</w:t>
            </w:r>
          </w:p>
        </w:tc>
        <w:tc>
          <w:tcPr>
            <w:tcW w:w="9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可持续发展能力</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体制机制改革</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服务体制改革成效</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9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行政管理体制改革成效</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完全合规</w:t>
            </w:r>
          </w:p>
        </w:tc>
        <w:tc>
          <w:tcPr>
            <w:tcW w:w="9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9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1533" w:type="dxa"/>
            <w:gridSpan w:val="4"/>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val="en-US" w:eastAsia="zh-CN"/>
              </w:rPr>
            </w:pPr>
            <w:r>
              <w:rPr>
                <w:rFonts w:hint="eastAsia" w:ascii="仿宋_GB2312" w:hAnsi="宋体" w:eastAsia="仿宋_GB2312"/>
                <w:color w:val="FF0000"/>
                <w:kern w:val="0"/>
                <w:highlight w:val="none"/>
                <w:lang w:eastAsia="zh-CN"/>
              </w:rPr>
              <w:t>完全相符</w:t>
            </w:r>
          </w:p>
        </w:tc>
        <w:tc>
          <w:tcPr>
            <w:tcW w:w="9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完全合规</w:t>
            </w:r>
          </w:p>
        </w:tc>
        <w:tc>
          <w:tcPr>
            <w:tcW w:w="9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行业标准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9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预算支出标准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服务对象满意情况</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完全相符</w:t>
            </w:r>
          </w:p>
        </w:tc>
        <w:tc>
          <w:tcPr>
            <w:tcW w:w="983"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历史标准</w:t>
            </w:r>
          </w:p>
        </w:tc>
        <w:tc>
          <w:tcPr>
            <w:tcW w:w="101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399" w:type="dxa"/>
            <w:tcMar>
              <w:left w:w="57" w:type="dxa"/>
              <w:right w:w="57" w:type="dxa"/>
            </w:tcMar>
            <w:vAlign w:val="center"/>
          </w:tcPr>
          <w:p>
            <w:pPr>
              <w:widowControl/>
              <w:snapToGrid w:val="0"/>
              <w:jc w:val="center"/>
              <w:rPr>
                <w:rFonts w:ascii="仿宋_GB2312" w:hAnsi="宋体" w:eastAsia="仿宋_GB2312"/>
                <w:b/>
                <w:bCs/>
                <w:color w:val="auto"/>
                <w:kern w:val="0"/>
                <w:highlight w:val="none"/>
              </w:rPr>
            </w:pPr>
            <w:r>
              <w:rPr>
                <w:rFonts w:hint="eastAsia" w:ascii="仿宋_GB2312" w:hAnsi="宋体" w:eastAsia="仿宋_GB2312" w:cs="仿宋_GB2312"/>
                <w:b/>
                <w:bCs/>
                <w:color w:val="auto"/>
                <w:kern w:val="0"/>
                <w:highlight w:val="none"/>
              </w:rPr>
              <w:t>年度目标：</w:t>
            </w:r>
          </w:p>
        </w:tc>
        <w:tc>
          <w:tcPr>
            <w:tcW w:w="7549" w:type="dxa"/>
            <w:gridSpan w:val="15"/>
            <w:tcMar>
              <w:left w:w="57" w:type="dxa"/>
              <w:right w:w="57"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　1.进一步加强法治财政建设。2.继续加强农村集体三资管理。3.认真清理部门和村级历史遗留的应收应付款，做好调账处理。4.认真做好党建、文明创建、档案提升、惠农资金补贴申报审核工作等。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年度绩效指标</w:t>
            </w: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二级指标</w:t>
            </w:r>
          </w:p>
        </w:tc>
        <w:tc>
          <w:tcPr>
            <w:tcW w:w="1665"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三级指标</w:t>
            </w:r>
          </w:p>
        </w:tc>
        <w:tc>
          <w:tcPr>
            <w:tcW w:w="361" w:type="dxa"/>
            <w:tcBorders>
              <w:righ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31" w:type="dxa"/>
            <w:gridSpan w:val="4"/>
            <w:tcBorders>
              <w:lef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指标值</w:t>
            </w:r>
          </w:p>
        </w:tc>
        <w:tc>
          <w:tcPr>
            <w:tcW w:w="528" w:type="dxa"/>
            <w:gridSpan w:val="2"/>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指标值确定依据</w:t>
            </w:r>
          </w:p>
        </w:tc>
        <w:tc>
          <w:tcPr>
            <w:tcW w:w="514"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近两年指标值</w:t>
            </w:r>
          </w:p>
        </w:tc>
        <w:tc>
          <w:tcPr>
            <w:tcW w:w="959"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预期当年实现值</w:t>
            </w:r>
          </w:p>
        </w:tc>
        <w:tc>
          <w:tcPr>
            <w:tcW w:w="528"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u w:val="single"/>
                <w:lang w:val="en-US" w:eastAsia="zh-CN"/>
              </w:rPr>
              <w:t>2022</w:t>
            </w:r>
            <w:r>
              <w:rPr>
                <w:rFonts w:ascii="仿宋_GB2312" w:hAnsi="宋体" w:eastAsia="仿宋_GB2312" w:cs="仿宋_GB2312"/>
                <w:color w:val="auto"/>
                <w:kern w:val="0"/>
                <w:highlight w:val="none"/>
                <w:u w:val="single"/>
              </w:rPr>
              <w:t xml:space="preserve"> </w:t>
            </w:r>
            <w:r>
              <w:rPr>
                <w:rFonts w:hint="eastAsia" w:ascii="仿宋_GB2312" w:hAnsi="宋体" w:eastAsia="仿宋_GB2312" w:cs="仿宋_GB2312"/>
                <w:color w:val="auto"/>
                <w:kern w:val="0"/>
                <w:highlight w:val="none"/>
              </w:rPr>
              <w:t>年</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u w:val="single"/>
                <w:lang w:val="en-US" w:eastAsia="zh-CN"/>
              </w:rPr>
              <w:t>2023</w:t>
            </w:r>
            <w:r>
              <w:rPr>
                <w:rFonts w:ascii="仿宋_GB2312" w:hAnsi="宋体" w:eastAsia="仿宋_GB2312" w:cs="仿宋_GB2312"/>
                <w:color w:val="auto"/>
                <w:kern w:val="0"/>
                <w:highlight w:val="none"/>
                <w:u w:val="single"/>
              </w:rPr>
              <w:t xml:space="preserve"> </w:t>
            </w:r>
            <w:r>
              <w:rPr>
                <w:rFonts w:hint="eastAsia" w:ascii="仿宋_GB2312" w:hAnsi="宋体" w:eastAsia="仿宋_GB2312" w:cs="仿宋_GB2312"/>
                <w:color w:val="auto"/>
                <w:kern w:val="0"/>
                <w:highlight w:val="none"/>
              </w:rPr>
              <w:t>年</w:t>
            </w:r>
          </w:p>
        </w:tc>
        <w:tc>
          <w:tcPr>
            <w:tcW w:w="95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28"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vMerge w:val="continue"/>
            <w:tcBorders>
              <w:lef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公用经费控制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公用经费控制率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在职人员控制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项目支出成本控制</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“三公经费”变动率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战略管理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中长期规划相符性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预算编制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预算执行</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预算执行率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结转结余率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健全</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健全</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完全合规</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完全合规</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健全</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基本合规</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基本合规</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规范</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完全合规</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完全合规</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完全合规</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基本合规</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完全合规</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行业标准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95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FF0000"/>
                <w:kern w:val="0"/>
                <w:highlight w:val="none"/>
                <w:lang w:eastAsia="zh-CN"/>
              </w:rPr>
              <w:t>完全相符</w:t>
            </w:r>
          </w:p>
        </w:tc>
        <w:tc>
          <w:tcPr>
            <w:tcW w:w="528"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核心业务产出1</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财务管理制度健全性</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完全相符</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完全相符</w:t>
            </w:r>
          </w:p>
        </w:tc>
        <w:tc>
          <w:tcPr>
            <w:tcW w:w="959"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完全相符</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核心业务产出2</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评价结果应用率</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959"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完全相符</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社会</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效应</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经济效益</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资金使用合规性</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完全相符</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完全相符</w:t>
            </w:r>
          </w:p>
        </w:tc>
        <w:tc>
          <w:tcPr>
            <w:tcW w:w="959"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完全相符</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可持续发展能力</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体制机制改革</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服务体制改革成效</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959"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完全相符</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行政管理体制改革成效</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完全相符</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完全相符</w:t>
            </w:r>
          </w:p>
        </w:tc>
        <w:tc>
          <w:tcPr>
            <w:tcW w:w="959"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完全相符</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59"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完全相符</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完全相符</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959"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完全相符</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规范</w:t>
            </w:r>
          </w:p>
        </w:tc>
        <w:tc>
          <w:tcPr>
            <w:tcW w:w="959"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完全相符</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完全相符</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健全</w:t>
            </w:r>
          </w:p>
        </w:tc>
        <w:tc>
          <w:tcPr>
            <w:tcW w:w="959"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绩效创新型指标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1665"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服务对象满意情况</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val="en-US" w:eastAsia="zh-CN"/>
              </w:rPr>
              <w:t>基本相符</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eastAsia="zh-CN"/>
              </w:rPr>
              <w:t>规范</w:t>
            </w:r>
          </w:p>
        </w:tc>
        <w:tc>
          <w:tcPr>
            <w:tcW w:w="959"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FF0000"/>
                <w:kern w:val="0"/>
                <w:highlight w:val="none"/>
                <w:lang w:val="en-US" w:eastAsia="zh-CN"/>
              </w:rPr>
              <w:t>基本健全</w:t>
            </w:r>
          </w:p>
        </w:tc>
        <w:tc>
          <w:tcPr>
            <w:tcW w:w="528"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bl>
    <w:p>
      <w:pPr>
        <w:spacing w:line="600" w:lineRule="exact"/>
        <w:ind w:firstLine="640" w:firstLineChars="200"/>
        <w:rPr>
          <w:rFonts w:hint="eastAsia" w:ascii="黑体" w:hAnsi="黑体" w:eastAsia="黑体" w:cs="黑体"/>
          <w:color w:val="auto"/>
          <w:sz w:val="32"/>
          <w:szCs w:val="32"/>
          <w:highlight w:val="none"/>
        </w:rPr>
      </w:pPr>
    </w:p>
    <w:p>
      <w:pPr>
        <w:spacing w:line="600" w:lineRule="exact"/>
        <w:jc w:val="center"/>
        <w:rPr>
          <w:rFonts w:ascii="方正小标宋简体" w:hAnsi="宋体" w:eastAsia="方正小标宋简体"/>
          <w:sz w:val="32"/>
          <w:szCs w:val="32"/>
        </w:rPr>
      </w:pPr>
      <w:r>
        <w:rPr>
          <w:rFonts w:hint="eastAsia" w:ascii="方正小标宋简体" w:hAnsi="宋体" w:eastAsia="方正小标宋简体" w:cs="方正小标宋简体"/>
          <w:sz w:val="32"/>
          <w:szCs w:val="32"/>
        </w:rPr>
        <w:t>部门整体绩效目标申报表内容说明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黑体" w:hAnsi="黑体" w:eastAsia="黑体"/>
          <w:sz w:val="28"/>
          <w:szCs w:val="28"/>
        </w:rPr>
      </w:pPr>
      <w:r>
        <w:rPr>
          <w:rFonts w:hint="eastAsia" w:ascii="黑体" w:hAnsi="黑体" w:eastAsia="黑体" w:cs="黑体"/>
          <w:sz w:val="28"/>
          <w:szCs w:val="28"/>
        </w:rPr>
        <w:t>一、适用范围</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rPr>
        <w:t>本表适用于</w:t>
      </w:r>
      <w:r>
        <w:rPr>
          <w:rFonts w:hint="eastAsia" w:ascii="仿宋_GB2312" w:eastAsia="仿宋_GB2312" w:cs="仿宋_GB2312"/>
          <w:color w:val="auto"/>
          <w:sz w:val="28"/>
          <w:szCs w:val="28"/>
          <w:highlight w:val="none"/>
          <w:lang w:eastAsia="zh-CN"/>
        </w:rPr>
        <w:t>市</w:t>
      </w:r>
      <w:r>
        <w:rPr>
          <w:rFonts w:hint="eastAsia" w:ascii="仿宋_GB2312" w:eastAsia="仿宋_GB2312" w:cs="仿宋_GB2312"/>
          <w:color w:val="auto"/>
          <w:sz w:val="28"/>
          <w:szCs w:val="28"/>
          <w:highlight w:val="none"/>
        </w:rPr>
        <w:t>直部门在申报部门整体绩效目标时填报，作为部门整体绩效目标审核和批复、部门整体绩效评价等工作的主要依据。</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黑体" w:hAnsi="黑体" w:eastAsia="黑体"/>
          <w:sz w:val="28"/>
          <w:szCs w:val="28"/>
        </w:rPr>
      </w:pPr>
      <w:r>
        <w:rPr>
          <w:rFonts w:hint="eastAsia" w:ascii="黑体" w:hAnsi="黑体" w:eastAsia="黑体" w:cs="黑体"/>
          <w:sz w:val="28"/>
          <w:szCs w:val="28"/>
        </w:rPr>
        <w:t>二、填报说明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1.</w:t>
      </w:r>
      <w:r>
        <w:rPr>
          <w:rFonts w:hint="eastAsia" w:ascii="仿宋_GB2312" w:eastAsia="仿宋_GB2312" w:cs="仿宋_GB2312"/>
          <w:color w:val="auto"/>
          <w:sz w:val="28"/>
          <w:szCs w:val="28"/>
          <w:highlight w:val="none"/>
        </w:rPr>
        <w:t>部门（单位）名称：填写填报本表的</w:t>
      </w:r>
      <w:r>
        <w:rPr>
          <w:rFonts w:hint="eastAsia" w:ascii="仿宋_GB2312" w:eastAsia="仿宋_GB2312" w:cs="仿宋_GB2312"/>
          <w:color w:val="auto"/>
          <w:sz w:val="28"/>
          <w:szCs w:val="28"/>
          <w:highlight w:val="none"/>
          <w:lang w:eastAsia="zh-CN"/>
        </w:rPr>
        <w:t>市直</w:t>
      </w:r>
      <w:r>
        <w:rPr>
          <w:rFonts w:hint="eastAsia" w:ascii="仿宋_GB2312" w:eastAsia="仿宋_GB2312" w:cs="仿宋_GB2312"/>
          <w:color w:val="auto"/>
          <w:sz w:val="28"/>
          <w:szCs w:val="28"/>
          <w:highlight w:val="none"/>
        </w:rPr>
        <w:t>部门全称。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2.</w:t>
      </w:r>
      <w:r>
        <w:rPr>
          <w:rFonts w:hint="eastAsia" w:ascii="仿宋_GB2312" w:eastAsia="仿宋_GB2312" w:cs="仿宋_GB2312"/>
          <w:color w:val="auto"/>
          <w:sz w:val="28"/>
          <w:szCs w:val="28"/>
          <w:highlight w:val="none"/>
        </w:rPr>
        <w:t>部门职能：填写部门主要职能。</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3.</w:t>
      </w:r>
      <w:r>
        <w:rPr>
          <w:rFonts w:hint="eastAsia" w:ascii="仿宋_GB2312" w:eastAsia="仿宋_GB2312" w:cs="仿宋_GB2312"/>
          <w:color w:val="auto"/>
          <w:sz w:val="28"/>
          <w:szCs w:val="28"/>
          <w:highlight w:val="none"/>
        </w:rPr>
        <w:t>年度工作任务：填写根据部门主要职责和工作计划确定的本年度主要工作任务。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4.</w:t>
      </w:r>
      <w:r>
        <w:rPr>
          <w:rFonts w:hint="eastAsia" w:ascii="仿宋_GB2312" w:eastAsia="仿宋_GB2312" w:cs="仿宋_GB2312"/>
          <w:color w:val="auto"/>
          <w:sz w:val="28"/>
          <w:szCs w:val="28"/>
          <w:highlight w:val="none"/>
        </w:rPr>
        <w:t>长期目标：描述本部门在三年内通过履行部门职责所达到的部门整体及核心业务效果</w:t>
      </w:r>
      <w:r>
        <w:rPr>
          <w:rFonts w:hint="eastAsia" w:ascii="仿宋_GB2312" w:eastAsia="仿宋_GB2312" w:cs="仿宋_GB2312"/>
          <w:color w:val="auto"/>
          <w:sz w:val="28"/>
          <w:szCs w:val="28"/>
          <w:highlight w:val="none"/>
          <w:lang w:eastAsia="zh-CN"/>
        </w:rPr>
        <w:t>，</w:t>
      </w:r>
      <w:r>
        <w:rPr>
          <w:rFonts w:hint="eastAsia" w:ascii="仿宋_GB2312" w:eastAsia="仿宋_GB2312" w:cs="仿宋_GB2312"/>
          <w:color w:val="auto"/>
          <w:sz w:val="28"/>
          <w:szCs w:val="28"/>
          <w:highlight w:val="none"/>
        </w:rPr>
        <w:t>并以相应的绩效指标予以细化、量化描述。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5.</w:t>
      </w:r>
      <w:r>
        <w:rPr>
          <w:rFonts w:hint="eastAsia" w:ascii="仿宋_GB2312" w:eastAsia="仿宋_GB2312" w:cs="仿宋_GB2312"/>
          <w:color w:val="auto"/>
          <w:sz w:val="28"/>
          <w:szCs w:val="28"/>
          <w:highlight w:val="none"/>
        </w:rPr>
        <w:t>长期绩效指标：主要包括运行成本、管理效率、履职效能、社会效应、可持续发展能力和满意度等六个一级指标，每一类一级指标细分为若干二级指标、三级指标，三级指标对应具体的指标值。</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6.</w:t>
      </w:r>
      <w:r>
        <w:rPr>
          <w:rFonts w:hint="eastAsia" w:ascii="仿宋_GB2312" w:eastAsia="仿宋_GB2312" w:cs="仿宋_GB2312"/>
          <w:color w:val="auto"/>
          <w:sz w:val="28"/>
          <w:szCs w:val="28"/>
          <w:highlight w:val="none"/>
        </w:rPr>
        <w:t>年度目标：描述本部门在本年度内通过履行部门职责所达到的部门整体及核心业务效果。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7.</w:t>
      </w:r>
      <w:r>
        <w:rPr>
          <w:rFonts w:hint="eastAsia" w:ascii="仿宋_GB2312" w:eastAsia="仿宋_GB2312" w:cs="仿宋_GB2312"/>
          <w:color w:val="auto"/>
          <w:sz w:val="28"/>
          <w:szCs w:val="28"/>
          <w:highlight w:val="none"/>
        </w:rPr>
        <w:t>年度绩效指标参照长期绩效指标填报。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s="仿宋_GB2312"/>
          <w:color w:val="auto"/>
          <w:sz w:val="28"/>
          <w:szCs w:val="28"/>
          <w:highlight w:val="none"/>
        </w:rPr>
      </w:pPr>
      <w:r>
        <w:rPr>
          <w:rFonts w:hint="eastAsia" w:ascii="仿宋_GB2312" w:eastAsia="仿宋_GB2312" w:cs="仿宋_GB2312"/>
          <w:color w:val="auto"/>
          <w:sz w:val="28"/>
          <w:szCs w:val="28"/>
          <w:highlight w:val="none"/>
          <w:lang w:val="en-US" w:eastAsia="zh-CN"/>
        </w:rPr>
        <w:t>8.</w:t>
      </w:r>
      <w:r>
        <w:rPr>
          <w:rFonts w:hint="eastAsia" w:ascii="仿宋_GB2312" w:eastAsia="仿宋_GB2312" w:cs="仿宋_GB2312"/>
          <w:color w:val="auto"/>
          <w:sz w:val="28"/>
          <w:szCs w:val="28"/>
          <w:highlight w:val="none"/>
        </w:rPr>
        <w:t>指标值确定依据。通过收集相关基础数据，明确指标值确定依据，主要包括计划标准、行业标准、历史标准、预算支出标准或其他标准。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olor w:val="auto"/>
          <w:sz w:val="28"/>
          <w:szCs w:val="28"/>
          <w:highlight w:val="none"/>
        </w:rPr>
      </w:pPr>
      <w:r>
        <w:rPr>
          <w:rFonts w:hint="eastAsia" w:ascii="仿宋_GB2312" w:eastAsia="仿宋_GB2312" w:cs="仿宋_GB2312"/>
          <w:color w:val="auto"/>
          <w:sz w:val="28"/>
          <w:szCs w:val="28"/>
          <w:highlight w:val="none"/>
          <w:lang w:val="en-US" w:eastAsia="zh-CN"/>
        </w:rPr>
        <w:t>9.</w:t>
      </w:r>
      <w:r>
        <w:rPr>
          <w:rFonts w:hint="eastAsia" w:ascii="仿宋_GB2312" w:eastAsia="仿宋_GB2312" w:cs="仿宋_GB2312"/>
          <w:color w:val="auto"/>
          <w:sz w:val="28"/>
          <w:szCs w:val="28"/>
          <w:highlight w:val="none"/>
        </w:rPr>
        <w:t>指标分类。按照绩效提升与创新程度将整体绩效目标分为绩效基本型、绩效创新型指标</w:t>
      </w:r>
      <w:r>
        <w:rPr>
          <w:rFonts w:hint="eastAsia" w:ascii="仿宋_GB2312" w:eastAsia="仿宋_GB2312" w:cs="仿宋_GB2312"/>
          <w:color w:val="auto"/>
          <w:sz w:val="28"/>
          <w:szCs w:val="28"/>
          <w:highlight w:val="none"/>
          <w:lang w:eastAsia="zh-CN"/>
        </w:rPr>
        <w:t>。</w:t>
      </w: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zZGEwYmU5ZDA3ZjVkNzljNTNlMGVkYTVlZGY5NWUifQ=="/>
  </w:docVars>
  <w:rsids>
    <w:rsidRoot w:val="2C365954"/>
    <w:rsid w:val="04161888"/>
    <w:rsid w:val="159A051A"/>
    <w:rsid w:val="1CA22253"/>
    <w:rsid w:val="212C2F24"/>
    <w:rsid w:val="22643A06"/>
    <w:rsid w:val="2C0C4B4F"/>
    <w:rsid w:val="2C365954"/>
    <w:rsid w:val="2F6C0263"/>
    <w:rsid w:val="30240E53"/>
    <w:rsid w:val="34520ACD"/>
    <w:rsid w:val="388B350E"/>
    <w:rsid w:val="4A950A06"/>
    <w:rsid w:val="4C9958DD"/>
    <w:rsid w:val="567C22A7"/>
    <w:rsid w:val="7B9A7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10"/>
    <w:pPr>
      <w:spacing w:before="240" w:after="60"/>
      <w:jc w:val="center"/>
      <w:outlineLvl w:val="0"/>
    </w:pPr>
    <w:rPr>
      <w:rFonts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2024-01-24T07:26:00Z</dcterms:created>
  <dc:creator>倒亚指芭绦</dc:creator>
  <cp:lastModifiedBy>布丁bulin</cp:lastModifiedBy>
  <cp:lastPrinted>2024-01-24T08:44:00Z</cp:lastPrinted>
  <dcterms:modified xsi:type="dcterms:W3CDTF">2024-04-19T03:25:17Z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84F00EEC2F964A11A349B2917863EDF2_13</vt:lpwstr>
  </property>
</Properties>
</file>