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单位：万元</w:t>
      </w:r>
    </w:p>
    <w:tbl>
      <w:tblPr>
        <w:tblStyle w:val="3"/>
        <w:tblW w:w="89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"/>
        <w:gridCol w:w="1218"/>
        <w:gridCol w:w="975"/>
        <w:gridCol w:w="58"/>
        <w:gridCol w:w="1407"/>
        <w:gridCol w:w="62"/>
        <w:gridCol w:w="1125"/>
        <w:gridCol w:w="406"/>
        <w:gridCol w:w="134"/>
        <w:gridCol w:w="361"/>
        <w:gridCol w:w="271"/>
        <w:gridCol w:w="118"/>
        <w:gridCol w:w="783"/>
        <w:gridCol w:w="58"/>
        <w:gridCol w:w="766"/>
        <w:gridCol w:w="159"/>
        <w:gridCol w:w="29"/>
        <w:gridCol w:w="488"/>
        <w:gridCol w:w="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730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临空经济区应急管理办公室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郭阳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13886328075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62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62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3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410.15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236.77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141.33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3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3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3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410.15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236.77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141.33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3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3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410.15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236.77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141.33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3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3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410.15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　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4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730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snapToGrid w:val="0"/>
              <w:ind w:left="210" w:leftChars="0" w:firstLine="0" w:firstLineChars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履行值守应急、突发事件信息汇总、应急管理综合协调和督促检查职能，发挥应急管理工作运转枢纽作用；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ind w:left="210" w:leftChars="0" w:firstLine="0" w:firstLineChars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组织编制和修订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区级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总体应急预案，指导全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应急预案体系和应急管理体制、机制、法制建设； 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ind w:left="210" w:leftChars="0" w:firstLine="0" w:firstLineChars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组织编制全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应急体系建设规划；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ind w:left="210" w:leftChars="0" w:firstLine="0" w:firstLineChars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四、指导全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应急机构、应急队伍、应急指挥平台和应急保障能力建设；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五、组织指导应急管理宣教培训、应急演练和对外交流合作；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六、协调特别重大、重大突发事件预防预警、应急处置、事件调查、事后评估和信息发布等工作；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七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、贯彻执行抗灾救灾的方针、政策；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八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、综合协调、处理抗灾救灾事宜，指导全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抗灾救灾工作；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九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、筹集、分配和管理抗灾救灾资金、物资，监督检查抗灾救灾资金、物资的使用情况。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ind w:left="210" w:leftChars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十、全面负责全区工贸、危化等行业的安全监管工作。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1396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730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tabs>
                <w:tab w:val="left" w:pos="7350"/>
              </w:tabs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tabs>
                <w:tab w:val="left" w:pos="7350"/>
              </w:tabs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依法监督检查工矿（冶金）商贸、危险化学品（烟花爆竹）生产经营企业安全生产工作。积极对接市应急局、市安委会各项日常工作。协助开展森林防灭火工作、防汛抗旱工作、防灾救灾工作。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" w:type="dxa"/>
          <w:trHeight w:val="1173" w:hRule="atLeast"/>
          <w:jc w:val="center"/>
        </w:trPr>
        <w:tc>
          <w:tcPr>
            <w:tcW w:w="121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730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依法监督检查工矿（冶金）商贸、危险化学品（烟花爆竹）生产经营企业安全生产工作。积极对接市应急局、市安委会各项日常工作。协助开展森林防灭火工作、防汛抗旱工作、防灾救灾工作。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206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预算支出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标准</w:t>
            </w:r>
          </w:p>
        </w:tc>
        <w:tc>
          <w:tcPr>
            <w:tcW w:w="1206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小于50%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科学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大于90%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预算支出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大于80%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预算支出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等于100%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FF0000"/>
                <w:kern w:val="0"/>
                <w:highlight w:val="none"/>
                <w:lang w:eastAsia="zh-CN"/>
              </w:rPr>
              <w:t>完全合规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安全生产用途管制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应急管理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自然灾害监管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资金执行控制率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城乡居住环境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宜居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创造森林城市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植绿护绿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满足工作需求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大于95%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联络单位满意度</w:t>
            </w: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大于90%</w:t>
            </w:r>
          </w:p>
        </w:tc>
        <w:tc>
          <w:tcPr>
            <w:tcW w:w="983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104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124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730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依法监督检查工矿（冶金）商贸、危险化学品（烟花爆竹）生产经营企业安全生产工作。积极对接市应急局、市安委会各项日常工作。协助开展森林防灭火工作、防汛抗旱工作、防灾救灾工作。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531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495" w:type="dxa"/>
            <w:gridSpan w:val="2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996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676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30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7" w:type="dxa"/>
            <w:gridSpan w:val="5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824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676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30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824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676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30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相符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相符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科学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科学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大于50%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大于50%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大于80%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合规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合规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危化项目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安全生产治理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应急管理监管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规范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合理开发资源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行业标准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fill="FFFFFF"/>
              </w:rPr>
              <w:t>受益人员覆盖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宜居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自然灾害预警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历史标准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绩效创新型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合理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有效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群众满意度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大于95%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247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531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联络单位满意度</w:t>
            </w:r>
          </w:p>
        </w:tc>
        <w:tc>
          <w:tcPr>
            <w:tcW w:w="884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8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大于90%</w:t>
            </w:r>
          </w:p>
        </w:tc>
        <w:tc>
          <w:tcPr>
            <w:tcW w:w="676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计划标准</w:t>
            </w:r>
          </w:p>
        </w:tc>
        <w:tc>
          <w:tcPr>
            <w:tcW w:w="53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绩效基本型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6B7D07"/>
    <w:multiLevelType w:val="singleLevel"/>
    <w:tmpl w:val="6A6B7D07"/>
    <w:lvl w:ilvl="0" w:tentative="0">
      <w:start w:val="1"/>
      <w:numFmt w:val="chineseCounting"/>
      <w:suff w:val="nothing"/>
      <w:lvlText w:val="%1、"/>
      <w:lvlJc w:val="left"/>
      <w:pPr>
        <w:ind w:left="21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2C365954"/>
    <w:rsid w:val="001854F3"/>
    <w:rsid w:val="0C2D6FDC"/>
    <w:rsid w:val="1CA22253"/>
    <w:rsid w:val="1D1D6970"/>
    <w:rsid w:val="212C2F24"/>
    <w:rsid w:val="287945FB"/>
    <w:rsid w:val="2B4C2CA7"/>
    <w:rsid w:val="2C365954"/>
    <w:rsid w:val="30240E53"/>
    <w:rsid w:val="388B350E"/>
    <w:rsid w:val="3DB24C06"/>
    <w:rsid w:val="446F1DA5"/>
    <w:rsid w:val="5C917CF5"/>
    <w:rsid w:val="62CD0099"/>
    <w:rsid w:val="668D04BB"/>
    <w:rsid w:val="6EB12983"/>
    <w:rsid w:val="6EEB3FD1"/>
    <w:rsid w:val="6F174DC6"/>
    <w:rsid w:val="70780615"/>
    <w:rsid w:val="741D484B"/>
    <w:rsid w:val="7B6E3FBF"/>
    <w:rsid w:val="7B9A7BAE"/>
    <w:rsid w:val="7ED3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3136</Words>
  <Characters>3393</Characters>
  <Lines>0</Lines>
  <Paragraphs>0</Paragraphs>
  <TotalTime>2</TotalTime>
  <ScaleCrop>false</ScaleCrop>
  <LinksUpToDate>false</LinksUpToDate>
  <CharactersWithSpaces>3451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Lenovo</cp:lastModifiedBy>
  <cp:lastPrinted>2024-01-24T08:44:00Z</cp:lastPrinted>
  <dcterms:modified xsi:type="dcterms:W3CDTF">2024-05-27T07:39:08Z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B9FD5BDAAC8E4E42B05DEB325E45D9B3_13</vt:lpwstr>
  </property>
</Properties>
</file>