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bookmarkStart w:id="0" w:name="OLE_LINK1"/>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组织人事局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城乡居保工作经费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5035.28</w:t>
            </w:r>
            <w:r>
              <w:rPr>
                <w:rFonts w:hint="eastAsia" w:ascii="仿宋_GB2312" w:hAnsi="仿宋_GB2312" w:eastAsia="仿宋_GB2312" w:cs="仿宋_GB2312"/>
                <w:color w:val="auto"/>
                <w:kern w:val="0"/>
                <w:sz w:val="21"/>
                <w:szCs w:val="21"/>
                <w:lang w:val="en-US" w:eastAsia="zh-CN"/>
              </w:rPr>
              <w:t>万元</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鄂人社发〔2020〕8号湖北省人力资源和社会保障厅关于印发《湖北省城乡居民基本养老保险经办规程》的通知</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鄂州政规〔2016〕3号市人民政府关于印发鄂州市城乡居民基本养老保险实施办法的通知</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宋体" w:eastAsia="仿宋_GB2312" w:cs="仿宋_GB2312"/>
                <w:kern w:val="0"/>
              </w:rPr>
              <w:t>市人社局关于转发《省人社厅、民政厅、财政厅、税务局、乡村振兴局、残联关于巩固拓展社会保险扶贫成果助力全面实施乡村振兴战略的通知》的通知（鄂人社发〔2021〕12号）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numPr>
                <w:ilvl w:val="0"/>
                <w:numId w:val="0"/>
              </w:numPr>
              <w:jc w:val="left"/>
              <w:rPr>
                <w:rFonts w:hint="eastAsia"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1.围绕目标任务，扎实推进居保工作；</w:t>
            </w:r>
          </w:p>
          <w:p>
            <w:pPr>
              <w:widowControl/>
              <w:numPr>
                <w:ilvl w:val="0"/>
                <w:numId w:val="0"/>
              </w:numPr>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2.立足服务民生，提高服务质量。一是完善工作制度。二是优化审批服务流程。三是注重管理质量，提升审批效能；</w:t>
            </w:r>
          </w:p>
          <w:p>
            <w:pPr>
              <w:widowControl/>
              <w:numPr>
                <w:ilvl w:val="0"/>
                <w:numId w:val="0"/>
              </w:numPr>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3.加大管理力度，强化行政能力。一是加强日常监管。二是加强社保资金的安全管理。三是做到应保尽保，做到全民参保。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9"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numPr>
                <w:ilvl w:val="0"/>
                <w:numId w:val="0"/>
              </w:numPr>
              <w:jc w:val="left"/>
              <w:rPr>
                <w:rFonts w:hint="eastAsia" w:ascii="仿宋_GB2312" w:hAnsi="宋体" w:eastAsia="仿宋_GB2312" w:cs="仿宋_GB2312"/>
                <w:kern w:val="0"/>
                <w:lang w:eastAsia="zh-CN"/>
              </w:rPr>
            </w:pPr>
            <w:r>
              <w:rPr>
                <w:rFonts w:hint="eastAsia" w:ascii="仿宋_GB2312" w:hAnsi="宋体" w:eastAsia="仿宋_GB2312" w:cs="仿宋_GB2312"/>
                <w:kern w:val="0"/>
                <w:lang w:val="en-US" w:eastAsia="zh-CN"/>
              </w:rPr>
              <w:t>1.</w:t>
            </w:r>
            <w:r>
              <w:rPr>
                <w:rFonts w:hint="eastAsia" w:ascii="仿宋_GB2312" w:hAnsi="宋体" w:eastAsia="仿宋_GB2312" w:cs="仿宋_GB2312"/>
                <w:kern w:val="0"/>
                <w:lang w:eastAsia="zh-CN"/>
              </w:rPr>
              <w:t>落实</w:t>
            </w:r>
            <w:r>
              <w:rPr>
                <w:rFonts w:hint="eastAsia" w:ascii="仿宋_GB2312" w:hAnsi="宋体" w:eastAsia="仿宋_GB2312" w:cs="仿宋_GB2312"/>
                <w:kern w:val="0"/>
              </w:rPr>
              <w:t>居保发放、追缴等核查</w:t>
            </w:r>
            <w:r>
              <w:rPr>
                <w:rFonts w:hint="eastAsia" w:ascii="仿宋_GB2312" w:hAnsi="宋体" w:eastAsia="仿宋_GB2312" w:cs="仿宋_GB2312"/>
                <w:kern w:val="0"/>
                <w:lang w:eastAsia="zh-CN"/>
              </w:rPr>
              <w:t>等工作；</w:t>
            </w:r>
          </w:p>
          <w:p>
            <w:pPr>
              <w:widowControl/>
              <w:numPr>
                <w:ilvl w:val="0"/>
                <w:numId w:val="0"/>
              </w:numPr>
              <w:jc w:val="left"/>
              <w:rPr>
                <w:rFonts w:hint="eastAsia" w:ascii="仿宋_GB2312" w:hAnsi="宋体" w:eastAsia="仿宋_GB2312" w:cs="仿宋_GB2312"/>
                <w:kern w:val="0"/>
              </w:rPr>
            </w:pPr>
            <w:r>
              <w:rPr>
                <w:rFonts w:hint="eastAsia" w:ascii="仿宋_GB2312" w:hAnsi="宋体" w:eastAsia="仿宋_GB2312" w:cs="仿宋_GB2312"/>
                <w:kern w:val="0"/>
              </w:rPr>
              <w:t>2.</w:t>
            </w:r>
            <w:r>
              <w:rPr>
                <w:rFonts w:hint="eastAsia" w:ascii="仿宋_GB2312" w:hAnsi="宋体" w:eastAsia="仿宋_GB2312" w:cs="仿宋_GB2312"/>
                <w:kern w:val="0"/>
                <w:lang w:eastAsia="zh-CN"/>
              </w:rPr>
              <w:t>做好</w:t>
            </w:r>
            <w:r>
              <w:rPr>
                <w:rFonts w:hint="eastAsia" w:ascii="仿宋_GB2312" w:hAnsi="宋体" w:eastAsia="仿宋_GB2312" w:cs="仿宋_GB2312"/>
                <w:kern w:val="0"/>
              </w:rPr>
              <w:t>低保特困对象城乡居民养老保险代缴</w:t>
            </w:r>
            <w:r>
              <w:rPr>
                <w:rFonts w:hint="eastAsia" w:ascii="仿宋_GB2312" w:hAnsi="宋体" w:eastAsia="仿宋_GB2312" w:cs="仿宋_GB2312"/>
                <w:kern w:val="0"/>
                <w:lang w:eastAsia="zh-CN"/>
              </w:rPr>
              <w:t>，保障民生兜底政策落实落地；</w:t>
            </w:r>
          </w:p>
          <w:p>
            <w:pPr>
              <w:widowControl/>
              <w:jc w:val="left"/>
              <w:rPr>
                <w:rFonts w:hint="eastAsia" w:ascii="仿宋_GB2312" w:hAnsi="宋体" w:eastAsia="仿宋_GB2312" w:cs="仿宋_GB2312"/>
                <w:kern w:val="0"/>
              </w:rPr>
            </w:pPr>
            <w:r>
              <w:rPr>
                <w:rFonts w:hint="eastAsia" w:ascii="仿宋_GB2312" w:hAnsi="宋体" w:eastAsia="仿宋_GB2312" w:cs="仿宋_GB2312"/>
                <w:kern w:val="0"/>
              </w:rPr>
              <w:t>3.</w:t>
            </w:r>
            <w:r>
              <w:rPr>
                <w:rFonts w:hint="eastAsia" w:ascii="仿宋_GB2312" w:hAnsi="宋体" w:eastAsia="仿宋_GB2312" w:cs="仿宋_GB2312"/>
                <w:kern w:val="0"/>
                <w:lang w:eastAsia="zh-CN"/>
              </w:rPr>
              <w:t>开展</w:t>
            </w:r>
            <w:r>
              <w:rPr>
                <w:rFonts w:hint="eastAsia" w:ascii="仿宋_GB2312" w:hAnsi="宋体" w:eastAsia="仿宋_GB2312" w:cs="仿宋_GB2312"/>
                <w:kern w:val="0"/>
              </w:rPr>
              <w:t>上级及区级开展居保业务培训；制作相关政策宣传资料、开展宣传活动；</w:t>
            </w:r>
          </w:p>
          <w:p>
            <w:pPr>
              <w:widowControl/>
              <w:jc w:val="left"/>
              <w:rPr>
                <w:rFonts w:hint="eastAsia" w:ascii="仿宋_GB2312" w:hAnsi="宋体" w:eastAsia="仿宋_GB2312" w:cs="仿宋_GB2312"/>
                <w:kern w:val="0"/>
                <w:lang w:eastAsia="zh-CN"/>
              </w:rPr>
            </w:pPr>
            <w:r>
              <w:rPr>
                <w:rFonts w:hint="eastAsia" w:ascii="仿宋_GB2312" w:hAnsi="宋体" w:eastAsia="仿宋_GB2312" w:cs="仿宋_GB2312"/>
                <w:kern w:val="0"/>
              </w:rPr>
              <w:t>4.订阅学习资料及业务杂志等0.5万</w:t>
            </w:r>
            <w:r>
              <w:rPr>
                <w:rFonts w:hint="eastAsia" w:ascii="仿宋_GB2312" w:hAnsi="宋体" w:eastAsia="仿宋_GB2312" w:cs="仿宋_GB2312"/>
                <w:kern w:val="0"/>
                <w:lang w:eastAsia="zh-CN"/>
              </w:rPr>
              <w:t>；</w:t>
            </w:r>
          </w:p>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lang w:val="en-US" w:eastAsia="zh-CN"/>
              </w:rPr>
              <w:t>5.保障</w:t>
            </w:r>
            <w:r>
              <w:rPr>
                <w:rFonts w:hint="eastAsia" w:ascii="仿宋_GB2312" w:hAnsi="宋体" w:eastAsia="仿宋_GB2312" w:cs="仿宋_GB2312"/>
                <w:kern w:val="0"/>
              </w:rPr>
              <w:t>城乡居民养老保险待遇发放资金</w:t>
            </w:r>
            <w:r>
              <w:rPr>
                <w:rFonts w:hint="eastAsia" w:ascii="仿宋_GB2312" w:hAnsi="宋体" w:eastAsia="仿宋_GB2312" w:cs="仿宋_GB2312"/>
                <w:kern w:val="0"/>
                <w:lang w:eastAsia="zh-CN"/>
              </w:rPr>
              <w:t>，维护社会稳定。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城乡居保每月发放养老待遇月约2.2万人</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100%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每月居保系统发放数据</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业务流程规范，</w:t>
            </w:r>
            <w:r>
              <w:rPr>
                <w:rFonts w:hint="eastAsia" w:ascii="仿宋_GB2312" w:hAnsi="宋体" w:eastAsia="仿宋_GB2312" w:cs="Times New Roman"/>
                <w:kern w:val="0"/>
                <w:lang w:val="en-US" w:eastAsia="zh-CN"/>
              </w:rPr>
              <w:t>社保基金的安全管理</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100</w:t>
            </w:r>
            <w:r>
              <w:rPr>
                <w:rFonts w:hint="eastAsia" w:ascii="仿宋_GB2312" w:hAnsi="宋体" w:eastAsia="仿宋_GB2312" w:cs="仿宋_GB2312"/>
                <w:kern w:val="0"/>
              </w:rPr>
              <w:t>%　</w:t>
            </w:r>
          </w:p>
        </w:tc>
        <w:tc>
          <w:tcPr>
            <w:tcW w:w="140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鄂人社发〔2020〕8号湖北省人力资源和社会保障厅关于印发《湖北省城乡居民基本养老保险经办规程》的通知</w:t>
            </w:r>
          </w:p>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城乡居保准时发放　</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100%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居保核查培训经费</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100</w:t>
            </w:r>
            <w:r>
              <w:rPr>
                <w:rFonts w:hint="eastAsia" w:ascii="仿宋_GB2312" w:hAnsi="宋体" w:eastAsia="仿宋_GB2312" w:cs="仿宋_GB2312"/>
                <w:kern w:val="0"/>
              </w:rPr>
              <w:t>%</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保障领取待遇群众合法权益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100</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保障基本民生，维护社会稳定</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100%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增强群众参保意识</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≥99%</w:t>
            </w:r>
          </w:p>
        </w:tc>
        <w:tc>
          <w:tcPr>
            <w:tcW w:w="140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rPr>
            </w:pPr>
            <w:r>
              <w:rPr>
                <w:rFonts w:hint="eastAsia" w:ascii="仿宋_GB2312" w:hAnsi="Arial" w:eastAsia="仿宋_GB2312" w:cs="仿宋_GB2312"/>
                <w:kern w:val="0"/>
              </w:rPr>
              <w:t>群众满意度</w:t>
            </w:r>
          </w:p>
        </w:tc>
        <w:tc>
          <w:tcPr>
            <w:tcW w:w="1094"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≥99%</w:t>
            </w:r>
          </w:p>
        </w:tc>
        <w:tc>
          <w:tcPr>
            <w:tcW w:w="140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2</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lang w:val="en-US" w:eastAsia="zh-CN"/>
              </w:rPr>
              <w:t>城乡居保每月发放养老待遇月约2.2万人</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100%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每月居保系统发放数据</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宣传</w:t>
            </w:r>
            <w:r>
              <w:rPr>
                <w:rFonts w:hint="eastAsia" w:ascii="仿宋_GB2312" w:hAnsi="宋体" w:eastAsia="仿宋_GB2312" w:cs="仿宋_GB2312"/>
                <w:kern w:val="0"/>
                <w:lang w:val="en-US" w:eastAsia="zh-CN"/>
              </w:rPr>
              <w:t>居保参保缴费</w:t>
            </w:r>
            <w:r>
              <w:rPr>
                <w:rFonts w:hint="eastAsia" w:ascii="仿宋_GB2312" w:hAnsi="宋体" w:eastAsia="仿宋_GB2312" w:cs="仿宋_GB2312"/>
                <w:kern w:val="0"/>
              </w:rPr>
              <w:t>政策覆盖率</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100%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湖北城乡居民基本养老保险缴费政策解读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w:t>
            </w:r>
            <w:r>
              <w:rPr>
                <w:rFonts w:hint="eastAsia" w:ascii="仿宋_GB2312" w:hAnsi="宋体" w:eastAsia="仿宋_GB2312" w:cs="Times New Roman"/>
                <w:kern w:val="0"/>
                <w:lang w:val="en-US" w:eastAsia="zh-CN"/>
              </w:rPr>
              <w:t>政府对</w:t>
            </w:r>
            <w:r>
              <w:rPr>
                <w:rFonts w:hint="eastAsia" w:ascii="仿宋_GB2312" w:hAnsi="宋体" w:eastAsia="仿宋_GB2312" w:cs="Times New Roman"/>
                <w:kern w:val="0"/>
              </w:rPr>
              <w:t>特殊群体代缴率…</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100</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bookmarkStart w:id="1" w:name="_GoBack"/>
            <w:bookmarkEnd w:id="1"/>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城乡居保准时发放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100%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居保核查追缴核查次数</w:t>
            </w:r>
          </w:p>
        </w:tc>
        <w:tc>
          <w:tcPr>
            <w:tcW w:w="1094" w:type="dxa"/>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5次</w:t>
            </w:r>
            <w:r>
              <w:rPr>
                <w:rFonts w:hint="eastAsia" w:ascii="仿宋_GB2312" w:hAnsi="宋体" w:eastAsia="仿宋_GB2312" w:cs="仿宋_GB2312"/>
                <w:kern w:val="0"/>
              </w:rPr>
              <w:t>　</w:t>
            </w:r>
          </w:p>
        </w:tc>
        <w:tc>
          <w:tcPr>
            <w:tcW w:w="140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居保业务培训</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6次</w:t>
            </w: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保障领取待遇群众合法权益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100</w:t>
            </w: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提高办事效率，办事程序公开，办事流程简化，确保到龄人员按时足额领取养老金</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100%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年满60周岁并符合待遇领取人员终生保障率</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100%</w:t>
            </w:r>
          </w:p>
        </w:tc>
        <w:tc>
          <w:tcPr>
            <w:tcW w:w="140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群众满意度</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≥99%</w:t>
            </w:r>
          </w:p>
        </w:tc>
        <w:tc>
          <w:tcPr>
            <w:tcW w:w="140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2</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bottom"/>
          </w:tcPr>
          <w:p>
            <w:pPr>
              <w:widowControl/>
              <w:jc w:val="left"/>
              <w:rPr>
                <w:rFonts w:hint="eastAsia" w:ascii="仿宋_GB2312" w:hAnsi="宋体" w:eastAsia="仿宋_GB2312" w:cs="仿宋_GB2312"/>
                <w:kern w:val="0"/>
              </w:rPr>
            </w:pPr>
          </w:p>
        </w:tc>
        <w:tc>
          <w:tcPr>
            <w:tcW w:w="1409" w:type="dxa"/>
            <w:vAlign w:val="bottom"/>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3Y2Q2ZDlhZDJjZDc2Y2M0ZTZlOWM1YTU4MzE3ZmUifQ=="/>
  </w:docVars>
  <w:rsids>
    <w:rsidRoot w:val="62E502C3"/>
    <w:rsid w:val="070657E8"/>
    <w:rsid w:val="08713341"/>
    <w:rsid w:val="0A2557BC"/>
    <w:rsid w:val="0B106E41"/>
    <w:rsid w:val="0B3F3282"/>
    <w:rsid w:val="0D2504F2"/>
    <w:rsid w:val="0E6574A4"/>
    <w:rsid w:val="161377E5"/>
    <w:rsid w:val="17AC1CA0"/>
    <w:rsid w:val="183A3BDC"/>
    <w:rsid w:val="1AB03212"/>
    <w:rsid w:val="2203354F"/>
    <w:rsid w:val="25916979"/>
    <w:rsid w:val="271909D4"/>
    <w:rsid w:val="2A44065C"/>
    <w:rsid w:val="2BB46F1D"/>
    <w:rsid w:val="34C208FD"/>
    <w:rsid w:val="352D221A"/>
    <w:rsid w:val="3B765F9D"/>
    <w:rsid w:val="3DF00289"/>
    <w:rsid w:val="3F0A7128"/>
    <w:rsid w:val="3F1E0CA9"/>
    <w:rsid w:val="41146EB1"/>
    <w:rsid w:val="447F5EC2"/>
    <w:rsid w:val="4A4D25BF"/>
    <w:rsid w:val="4CDD40CE"/>
    <w:rsid w:val="4E9C7CD7"/>
    <w:rsid w:val="4FBD5FD6"/>
    <w:rsid w:val="59690957"/>
    <w:rsid w:val="5B89775C"/>
    <w:rsid w:val="5DBA0CE9"/>
    <w:rsid w:val="5F750196"/>
    <w:rsid w:val="62E502C3"/>
    <w:rsid w:val="6C1558C3"/>
    <w:rsid w:val="6DA560EA"/>
    <w:rsid w:val="728227B0"/>
    <w:rsid w:val="75CB09A0"/>
    <w:rsid w:val="7B917CAE"/>
    <w:rsid w:val="7BB81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2023-11-06T10:12:00Z</dcterms:created>
  <dc:creator>叶贝</dc:creator>
  <cp:lastModifiedBy>Administrator</cp:lastModifiedBy>
  <cp:lastPrinted>2024-04-07T08:51:03Z</cp:lastPrinted>
  <dcterms:modified xsi:type="dcterms:W3CDTF">2024-04-07T08:51:35Z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0B2DD83E839C4CDBAA1AF415018172D0_13</vt:lpwstr>
  </property>
</Properties>
</file>