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outlineLvl w:val="9"/>
        <w:rPr>
          <w:rFonts w:ascii="宋体" w:hAnsi="宋体"/>
          <w:sz w:val="52"/>
          <w:szCs w:val="52"/>
          <w:highlight w:val="none"/>
        </w:rPr>
      </w:pPr>
      <w:r>
        <w:rPr>
          <w:rFonts w:hint="eastAsia" w:ascii="宋体" w:hAnsi="宋体"/>
          <w:sz w:val="52"/>
          <w:szCs w:val="52"/>
          <w:highlight w:val="none"/>
        </w:rPr>
        <w:t>临空经济区</w:t>
      </w:r>
      <w:r>
        <w:rPr>
          <w:rFonts w:hint="eastAsia" w:ascii="宋体" w:hAnsi="宋体"/>
          <w:sz w:val="52"/>
          <w:szCs w:val="52"/>
          <w:highlight w:val="none"/>
          <w:lang w:val="en-US" w:eastAsia="zh-CN"/>
        </w:rPr>
        <w:t>财政</w:t>
      </w:r>
      <w:r>
        <w:rPr>
          <w:rFonts w:hint="eastAsia" w:ascii="宋体" w:hAnsi="宋体"/>
          <w:sz w:val="52"/>
          <w:szCs w:val="52"/>
          <w:highlight w:val="none"/>
        </w:rPr>
        <w:t>衔接资金项目</w:t>
      </w:r>
    </w:p>
    <w:p>
      <w:pPr>
        <w:spacing w:line="300" w:lineRule="auto"/>
        <w:jc w:val="center"/>
        <w:rPr>
          <w:rFonts w:ascii="黑体" w:hAnsi="黑体" w:eastAsia="黑体"/>
          <w:b/>
          <w:sz w:val="72"/>
          <w:szCs w:val="72"/>
        </w:rPr>
      </w:pPr>
      <w:r>
        <w:rPr>
          <w:rFonts w:hint="eastAsia" w:ascii="黑体" w:hAnsi="黑体" w:eastAsia="黑体"/>
          <w:b/>
          <w:sz w:val="72"/>
          <w:szCs w:val="72"/>
        </w:rPr>
        <w:t>绩效评价报告</w:t>
      </w:r>
    </w:p>
    <w:p>
      <w:pPr>
        <w:tabs>
          <w:tab w:val="left" w:pos="615"/>
        </w:tabs>
        <w:spacing w:line="300" w:lineRule="auto"/>
        <w:jc w:val="center"/>
        <w:rPr>
          <w:rFonts w:hint="eastAsia" w:ascii="黑体" w:hAnsi="黑体" w:eastAsia="黑体" w:cs="黑体"/>
          <w:sz w:val="40"/>
          <w:szCs w:val="40"/>
          <w:lang w:eastAsia="zh-CN"/>
        </w:rPr>
      </w:pPr>
      <w:r>
        <w:rPr>
          <w:rFonts w:hint="eastAsia" w:ascii="黑体" w:hAnsi="黑体" w:eastAsia="黑体" w:cs="黑体"/>
          <w:sz w:val="40"/>
          <w:szCs w:val="40"/>
          <w:lang w:eastAsia="zh-CN"/>
        </w:rPr>
        <w:t>（</w:t>
      </w:r>
      <w:r>
        <w:rPr>
          <w:rFonts w:hint="eastAsia" w:ascii="黑体" w:hAnsi="黑体" w:eastAsia="黑体" w:cs="黑体"/>
          <w:sz w:val="40"/>
          <w:szCs w:val="40"/>
          <w:lang w:val="en-US" w:eastAsia="zh-CN"/>
        </w:rPr>
        <w:t>精简版</w:t>
      </w:r>
      <w:r>
        <w:rPr>
          <w:rFonts w:hint="eastAsia" w:ascii="黑体" w:hAnsi="黑体" w:eastAsia="黑体" w:cs="黑体"/>
          <w:sz w:val="40"/>
          <w:szCs w:val="40"/>
          <w:lang w:eastAsia="zh-CN"/>
        </w:rPr>
        <w:t>）</w:t>
      </w: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ind w:firstLine="843" w:firstLineChars="300"/>
        <w:rPr>
          <w:b/>
          <w:sz w:val="28"/>
          <w:szCs w:val="28"/>
          <w:highlight w:val="none"/>
        </w:rPr>
      </w:pPr>
      <w:r>
        <w:rPr>
          <w:rFonts w:hint="eastAsia"/>
          <w:b/>
          <w:sz w:val="28"/>
          <w:szCs w:val="28"/>
          <w:highlight w:val="none"/>
        </w:rPr>
        <w:t>项目名称：杨叶镇古塘村、白沙村休闲观光采摘园示范项目</w:t>
      </w:r>
    </w:p>
    <w:p>
      <w:pPr>
        <w:tabs>
          <w:tab w:val="left" w:pos="615"/>
        </w:tabs>
        <w:spacing w:line="300" w:lineRule="auto"/>
        <w:ind w:firstLine="843" w:firstLineChars="300"/>
        <w:rPr>
          <w:b/>
          <w:sz w:val="28"/>
          <w:szCs w:val="28"/>
          <w:highlight w:val="none"/>
        </w:rPr>
      </w:pPr>
      <w:r>
        <w:rPr>
          <w:rFonts w:hint="eastAsia"/>
          <w:b/>
          <w:sz w:val="28"/>
          <w:szCs w:val="28"/>
          <w:highlight w:val="none"/>
        </w:rPr>
        <w:t>项目单位：鄂州市临空经济开发区杨叶镇白沙村</w:t>
      </w:r>
    </w:p>
    <w:p>
      <w:pPr>
        <w:tabs>
          <w:tab w:val="left" w:pos="615"/>
        </w:tabs>
        <w:spacing w:line="300" w:lineRule="auto"/>
        <w:ind w:firstLine="843" w:firstLineChars="300"/>
        <w:rPr>
          <w:b/>
          <w:sz w:val="28"/>
          <w:szCs w:val="28"/>
          <w:highlight w:val="none"/>
        </w:rPr>
      </w:pPr>
      <w:r>
        <w:rPr>
          <w:rFonts w:hint="eastAsia"/>
          <w:b/>
          <w:sz w:val="28"/>
          <w:szCs w:val="28"/>
          <w:highlight w:val="none"/>
        </w:rPr>
        <w:t>主管部门：鄂州市临空经济开发区杨叶镇</w:t>
      </w:r>
    </w:p>
    <w:p>
      <w:pPr>
        <w:tabs>
          <w:tab w:val="left" w:pos="615"/>
        </w:tabs>
        <w:spacing w:line="300" w:lineRule="auto"/>
        <w:ind w:firstLine="843" w:firstLineChars="300"/>
        <w:outlineLvl w:val="9"/>
        <w:rPr>
          <w:b/>
          <w:sz w:val="28"/>
          <w:szCs w:val="28"/>
          <w:highlight w:val="none"/>
        </w:rPr>
      </w:pPr>
      <w:r>
        <w:rPr>
          <w:rFonts w:hint="eastAsia"/>
          <w:b/>
          <w:sz w:val="28"/>
          <w:szCs w:val="28"/>
          <w:highlight w:val="none"/>
        </w:rPr>
        <w:t>评价机构：湖北众信会计师事务有限公司</w:t>
      </w:r>
    </w:p>
    <w:p>
      <w:pPr>
        <w:spacing w:line="300" w:lineRule="auto"/>
        <w:ind w:firstLine="843" w:firstLineChars="300"/>
        <w:outlineLvl w:val="9"/>
        <w:rPr>
          <w:b/>
          <w:color w:val="auto"/>
          <w:sz w:val="28"/>
          <w:szCs w:val="28"/>
          <w:highlight w:val="none"/>
        </w:rPr>
      </w:pPr>
      <w:r>
        <w:rPr>
          <w:rFonts w:hint="eastAsia"/>
          <w:b/>
          <w:sz w:val="28"/>
          <w:szCs w:val="28"/>
          <w:highlight w:val="none"/>
        </w:rPr>
        <w:t>报告文号：</w:t>
      </w:r>
      <w:r>
        <w:rPr>
          <w:rFonts w:hint="eastAsia"/>
          <w:b/>
          <w:color w:val="auto"/>
          <w:sz w:val="28"/>
          <w:szCs w:val="28"/>
          <w:highlight w:val="none"/>
        </w:rPr>
        <w:t>湖众信绩评字[2023]00</w:t>
      </w:r>
      <w:r>
        <w:rPr>
          <w:rFonts w:hint="eastAsia"/>
          <w:b/>
          <w:color w:val="auto"/>
          <w:sz w:val="28"/>
          <w:szCs w:val="28"/>
          <w:highlight w:val="none"/>
          <w:lang w:val="en-US" w:eastAsia="zh-CN"/>
        </w:rPr>
        <w:t>8</w:t>
      </w:r>
      <w:r>
        <w:rPr>
          <w:rFonts w:hint="eastAsia"/>
          <w:b/>
          <w:color w:val="auto"/>
          <w:sz w:val="28"/>
          <w:szCs w:val="28"/>
          <w:highlight w:val="none"/>
        </w:rPr>
        <w:t>号</w:t>
      </w:r>
    </w:p>
    <w:p>
      <w:pPr>
        <w:widowControl/>
        <w:spacing w:line="300" w:lineRule="auto"/>
        <w:ind w:firstLine="551" w:firstLineChars="196"/>
        <w:jc w:val="left"/>
        <w:rPr>
          <w:rFonts w:ascii="宋体" w:hAnsi="宋体" w:cs="宋体"/>
          <w:b/>
          <w:bCs/>
          <w:kern w:val="0"/>
          <w:sz w:val="28"/>
          <w:szCs w:val="28"/>
          <w:highlight w:val="none"/>
        </w:rPr>
      </w:pPr>
    </w:p>
    <w:p>
      <w:pPr>
        <w:tabs>
          <w:tab w:val="left" w:pos="615"/>
        </w:tabs>
        <w:spacing w:line="300" w:lineRule="auto"/>
        <w:ind w:firstLine="703" w:firstLineChars="250"/>
        <w:rPr>
          <w:b/>
          <w:sz w:val="28"/>
          <w:szCs w:val="28"/>
          <w:highlight w:val="none"/>
        </w:rPr>
      </w:pPr>
    </w:p>
    <w:p>
      <w:pPr>
        <w:tabs>
          <w:tab w:val="left" w:pos="615"/>
        </w:tabs>
        <w:spacing w:line="300" w:lineRule="auto"/>
        <w:rPr>
          <w:sz w:val="24"/>
          <w:highlight w:val="none"/>
        </w:rPr>
      </w:pPr>
    </w:p>
    <w:p>
      <w:pPr>
        <w:spacing w:before="156" w:beforeLines="50" w:line="300" w:lineRule="auto"/>
        <w:ind w:firstLine="3373" w:firstLineChars="1200"/>
        <w:rPr>
          <w:b/>
          <w:bCs/>
          <w:sz w:val="28"/>
          <w:szCs w:val="28"/>
          <w:highlight w:val="none"/>
        </w:rPr>
      </w:pPr>
    </w:p>
    <w:p>
      <w:pPr>
        <w:spacing w:before="156" w:beforeLines="50" w:line="300" w:lineRule="auto"/>
        <w:ind w:firstLine="3373" w:firstLineChars="1200"/>
        <w:rPr>
          <w:b/>
          <w:bCs/>
          <w:sz w:val="28"/>
          <w:szCs w:val="28"/>
          <w:highlight w:val="none"/>
        </w:rPr>
      </w:pPr>
    </w:p>
    <w:p>
      <w:pPr>
        <w:spacing w:before="156" w:beforeLines="50" w:line="300" w:lineRule="auto"/>
        <w:ind w:firstLine="4779" w:firstLineChars="1700"/>
        <w:rPr>
          <w:highlight w:val="none"/>
        </w:rPr>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titlePg/>
          <w:docGrid w:type="lines" w:linePitch="312" w:charSpace="0"/>
        </w:sectPr>
      </w:pPr>
      <w:r>
        <w:rPr>
          <w:b/>
          <w:bCs/>
          <w:sz w:val="28"/>
          <w:szCs w:val="28"/>
          <w:highlight w:val="none"/>
        </w:rPr>
        <w:t>20</w:t>
      </w:r>
      <w:r>
        <w:rPr>
          <w:rFonts w:hint="eastAsia"/>
          <w:b/>
          <w:bCs/>
          <w:sz w:val="28"/>
          <w:szCs w:val="28"/>
          <w:highlight w:val="none"/>
        </w:rPr>
        <w:t>23</w:t>
      </w:r>
      <w:r>
        <w:rPr>
          <w:b/>
          <w:bCs/>
          <w:sz w:val="28"/>
          <w:szCs w:val="28"/>
          <w:highlight w:val="none"/>
        </w:rPr>
        <w:t>年1</w:t>
      </w:r>
      <w:r>
        <w:rPr>
          <w:rFonts w:hint="eastAsia"/>
          <w:b/>
          <w:bCs/>
          <w:sz w:val="28"/>
          <w:szCs w:val="28"/>
          <w:highlight w:val="none"/>
        </w:rPr>
        <w:t>2</w:t>
      </w:r>
      <w:r>
        <w:rPr>
          <w:b/>
          <w:bCs/>
          <w:sz w:val="28"/>
          <w:szCs w:val="28"/>
          <w:highlight w:val="none"/>
        </w:rPr>
        <w:t>月</w:t>
      </w:r>
    </w:p>
    <w:p>
      <w:pPr>
        <w:pStyle w:val="3"/>
        <w:tabs>
          <w:tab w:val="center" w:pos="4742"/>
        </w:tabs>
        <w:spacing w:before="312" w:after="312" w:line="300" w:lineRule="auto"/>
        <w:ind w:firstLine="3080" w:firstLineChars="700"/>
        <w:jc w:val="both"/>
        <w:rPr>
          <w:highlight w:val="none"/>
        </w:rPr>
      </w:pPr>
      <w:bookmarkStart w:id="0" w:name="_Toc1664843680"/>
      <w:bookmarkStart w:id="1" w:name="_Toc1714034928"/>
      <w:r>
        <w:rPr>
          <w:rFonts w:hint="eastAsia" w:ascii="Times New Roman" w:hAnsi="Times New Roman" w:eastAsia="黑体"/>
          <w:b w:val="0"/>
          <w:bCs w:val="0"/>
          <w:highlight w:val="none"/>
        </w:rPr>
        <w:t>说</w:t>
      </w:r>
      <w:r>
        <w:rPr>
          <w:rFonts w:hint="eastAsia" w:ascii="Times New Roman" w:hAnsi="Times New Roman" w:eastAsia="黑体"/>
          <w:b w:val="0"/>
          <w:bCs w:val="0"/>
          <w:highlight w:val="none"/>
          <w:lang w:val="en-US" w:eastAsia="zh-CN"/>
        </w:rPr>
        <w:t xml:space="preserve"> </w:t>
      </w:r>
      <w:r>
        <w:rPr>
          <w:rFonts w:hint="eastAsia" w:ascii="Times New Roman" w:hAnsi="Times New Roman" w:eastAsia="黑体"/>
          <w:b w:val="0"/>
          <w:bCs w:val="0"/>
          <w:highlight w:val="none"/>
        </w:rPr>
        <w:t>明</w:t>
      </w:r>
      <w:bookmarkEnd w:id="0"/>
      <w:bookmarkEnd w:id="1"/>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受鄂州市临空经济区财政金融局（以下简称财金局）委托，湖北众信会计师事务有限公司对临空经济开发区杨叶镇古塘村、白沙村休闲观光采摘园示范项目（以下简称白沙村采摘园项目）财政衔接资金使用情况进行了绩效评价。通过此次评价，全面了解白沙村采摘园项目财政衔接资金拨付、使用情况以及取得的综合绩效，同时通过对项目资金绩效评价，总结经验、发现问题、提出建议，保证白沙村采摘园项目财政衔接资金使用管理的规范性、安全性和有效性。</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湖北省衔接资金项 目管理“一本通”》</w:t>
      </w:r>
      <w:r>
        <w:rPr>
          <w:rFonts w:hint="eastAsia" w:ascii="仿宋_GB2312" w:hAnsi="宋体" w:eastAsia="仿宋_GB2312"/>
          <w:sz w:val="28"/>
          <w:szCs w:val="28"/>
          <w:highlight w:val="none"/>
        </w:rPr>
        <w:t>等文件和政策的规定和要求，按时完成了“白沙村采摘园项目”绩效评价工作，并形成本绩效评价报告。</w:t>
      </w:r>
    </w:p>
    <w:p>
      <w:pPr>
        <w:pStyle w:val="3"/>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ˎ̥" w:hAnsi="ˎ̥" w:eastAsia="宋体" w:cs="Times New Roman"/>
          <w:b/>
          <w:bCs w:val="0"/>
          <w:kern w:val="2"/>
          <w:sz w:val="36"/>
          <w:szCs w:val="36"/>
          <w:lang w:val="en-US" w:eastAsia="zh-CN" w:bidi="ar-SA"/>
          <w14:ligatures w14:val="none"/>
        </w:rPr>
      </w:pPr>
      <w:bookmarkStart w:id="2" w:name="_Toc1439394038"/>
      <w:r>
        <w:rPr>
          <w:rFonts w:hint="eastAsia" w:ascii="ˎ̥" w:hAnsi="ˎ̥" w:eastAsia="宋体" w:cs="Times New Roman"/>
          <w:b/>
          <w:bCs w:val="0"/>
          <w:kern w:val="2"/>
          <w:sz w:val="36"/>
          <w:szCs w:val="36"/>
          <w:lang w:val="en-US" w:eastAsia="zh-CN" w:bidi="ar-SA"/>
          <w14:ligatures w14:val="none"/>
        </w:rPr>
        <w:t>报告摘要</w:t>
      </w:r>
      <w:bookmarkEnd w:id="2"/>
    </w:p>
    <w:p>
      <w:pPr>
        <w:widowControl/>
        <w:spacing w:line="300" w:lineRule="auto"/>
        <w:jc w:val="left"/>
        <w:rPr>
          <w:rFonts w:ascii="宋体" w:hAnsi="宋体" w:cs="宋体"/>
          <w:b/>
          <w:bCs/>
          <w:kern w:val="0"/>
          <w:sz w:val="28"/>
          <w:szCs w:val="28"/>
          <w:highlight w:val="none"/>
        </w:rPr>
      </w:pPr>
    </w:p>
    <w:p>
      <w:pPr>
        <w:widowControl/>
        <w:spacing w:line="300" w:lineRule="auto"/>
        <w:ind w:firstLine="551" w:firstLineChars="196"/>
        <w:jc w:val="left"/>
        <w:outlineLvl w:val="9"/>
        <w:rPr>
          <w:rFonts w:hint="eastAsia" w:ascii="黑体" w:hAnsi="黑体" w:eastAsia="黑体" w:cs="黑体"/>
          <w:b/>
          <w:bCs/>
          <w:kern w:val="0"/>
          <w:sz w:val="28"/>
          <w:szCs w:val="28"/>
          <w:highlight w:val="none"/>
        </w:rPr>
      </w:pPr>
      <w:r>
        <w:rPr>
          <w:rFonts w:hint="eastAsia" w:ascii="宋体" w:hAnsi="宋体" w:cs="宋体"/>
          <w:b/>
          <w:bCs/>
          <w:kern w:val="0"/>
          <w:sz w:val="28"/>
          <w:szCs w:val="28"/>
          <w:highlight w:val="none"/>
        </w:rPr>
        <w:t>一、项目基本情况</w:t>
      </w:r>
    </w:p>
    <w:p>
      <w:pPr>
        <w:widowControl/>
        <w:spacing w:line="300" w:lineRule="auto"/>
        <w:ind w:firstLine="551" w:firstLineChars="196"/>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（一）项目立项及批复情况</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年度乡村振兴项目。</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乡村振兴产业是关键，产业振兴是乡村振兴的基石。根据法规、政策和扶持集体经济建设项目的相关制度规定，严格规范操作、科学管理，加快项目实施建设，按时、按质、按量完成扶持集体经济发展建设项目，乡村振兴中的重点是如何实施增加农民收入，壮大村集体经济，因白沙村紧靠黄石、武汉的地理优势，人多地少，又有传统种植蔬菜瓜果的经验，所以白沙村向镇申报了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年度乡村振兴项目——杨叶镇古塘村、白沙村休闲观光采摘园示范项目（以下简称白沙村采摘园项目）。202</w:t>
      </w:r>
      <w:r>
        <w:rPr>
          <w:rFonts w:ascii="仿宋_GB2312" w:hAnsi="宋体" w:eastAsia="仿宋_GB2312"/>
          <w:sz w:val="28"/>
          <w:szCs w:val="28"/>
          <w:highlight w:val="none"/>
        </w:rPr>
        <w:t>3</w:t>
      </w:r>
      <w:r>
        <w:rPr>
          <w:rFonts w:hint="eastAsia" w:ascii="仿宋_GB2312" w:hAnsi="宋体" w:eastAsia="仿宋_GB2312"/>
          <w:sz w:val="28"/>
          <w:szCs w:val="28"/>
          <w:highlight w:val="none"/>
        </w:rPr>
        <w:t>年3月，杨叶镇向区乡村振兴局上报了《关于申报202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年度杨叶镇人民政府关于申报财政衔接推进乡村振兴补助资金项目的函》（杨政函[</w:t>
      </w:r>
      <w:r>
        <w:rPr>
          <w:rFonts w:ascii="仿宋_GB2312" w:hAnsi="宋体" w:eastAsia="仿宋_GB2312"/>
          <w:sz w:val="28"/>
          <w:szCs w:val="28"/>
          <w:highlight w:val="none"/>
        </w:rPr>
        <w:t>2023]10</w:t>
      </w:r>
      <w:r>
        <w:rPr>
          <w:rFonts w:hint="eastAsia" w:ascii="仿宋_GB2312" w:hAnsi="宋体" w:eastAsia="仿宋_GB2312"/>
          <w:sz w:val="28"/>
          <w:szCs w:val="28"/>
          <w:highlight w:val="none"/>
        </w:rPr>
        <w:t>号），上报了杨叶镇镇纳入202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年度临空经济开发区实施乡村振兴规划项目库，其中包含白沙村采摘园项目。</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同月，区乡村振兴局向各镇下发了《关于202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年度申报实施乡村振兴项目库的批复》，批复了白沙村采摘园项目，年度资金总额2</w:t>
      </w:r>
      <w:r>
        <w:rPr>
          <w:rFonts w:ascii="仿宋_GB2312" w:hAnsi="宋体" w:eastAsia="仿宋_GB2312"/>
          <w:sz w:val="28"/>
          <w:szCs w:val="28"/>
          <w:highlight w:val="none"/>
        </w:rPr>
        <w:t>,680</w:t>
      </w:r>
      <w:r>
        <w:rPr>
          <w:rFonts w:hint="eastAsia" w:ascii="仿宋_GB2312" w:hAnsi="宋体" w:eastAsia="仿宋_GB2312"/>
          <w:sz w:val="28"/>
          <w:szCs w:val="28"/>
          <w:highlight w:val="none"/>
          <w:lang w:val="en-US" w:eastAsia="zh-CN"/>
        </w:rPr>
        <w:t>,</w:t>
      </w:r>
      <w:r>
        <w:rPr>
          <w:rFonts w:ascii="仿宋_GB2312" w:hAnsi="宋体" w:eastAsia="仿宋_GB2312"/>
          <w:sz w:val="28"/>
          <w:szCs w:val="28"/>
          <w:highlight w:val="none"/>
        </w:rPr>
        <w:t>000.00</w:t>
      </w:r>
      <w:r>
        <w:rPr>
          <w:rFonts w:hint="eastAsia" w:ascii="仿宋_GB2312" w:hAnsi="宋体" w:eastAsia="仿宋_GB2312"/>
          <w:sz w:val="28"/>
          <w:szCs w:val="28"/>
          <w:highlight w:val="none"/>
        </w:rPr>
        <w:t>元，其中：财政衔接资金2</w:t>
      </w:r>
      <w:r>
        <w:rPr>
          <w:rFonts w:ascii="仿宋_GB2312" w:hAnsi="宋体" w:eastAsia="仿宋_GB2312"/>
          <w:sz w:val="28"/>
          <w:szCs w:val="28"/>
          <w:highlight w:val="none"/>
        </w:rPr>
        <w:t>,000,000.00</w:t>
      </w:r>
      <w:r>
        <w:rPr>
          <w:rFonts w:hint="eastAsia" w:ascii="仿宋_GB2312" w:hAnsi="宋体" w:eastAsia="仿宋_GB2312"/>
          <w:sz w:val="28"/>
          <w:szCs w:val="28"/>
          <w:highlight w:val="none"/>
        </w:rPr>
        <w:t>元，其他资金6</w:t>
      </w:r>
      <w:r>
        <w:rPr>
          <w:rFonts w:ascii="仿宋_GB2312" w:hAnsi="宋体" w:eastAsia="仿宋_GB2312"/>
          <w:sz w:val="28"/>
          <w:szCs w:val="28"/>
          <w:highlight w:val="none"/>
        </w:rPr>
        <w:t>80,000.00</w:t>
      </w:r>
      <w:r>
        <w:rPr>
          <w:rFonts w:hint="eastAsia" w:ascii="仿宋_GB2312" w:hAnsi="宋体" w:eastAsia="仿宋_GB2312"/>
          <w:sz w:val="28"/>
          <w:szCs w:val="28"/>
          <w:highlight w:val="none"/>
        </w:rPr>
        <w:t>元。</w:t>
      </w:r>
    </w:p>
    <w:p>
      <w:pPr>
        <w:spacing w:line="300" w:lineRule="auto"/>
        <w:ind w:firstLine="281" w:firstLineChars="100"/>
        <w:outlineLvl w:val="9"/>
        <w:rPr>
          <w:rFonts w:ascii="仿宋_GB2312" w:hAnsi="宋体" w:eastAsia="仿宋_GB2312"/>
          <w:sz w:val="28"/>
          <w:szCs w:val="28"/>
          <w:highlight w:val="none"/>
        </w:rPr>
      </w:pPr>
      <w:r>
        <w:rPr>
          <w:rFonts w:hint="eastAsia" w:ascii="宋体" w:hAnsi="宋体" w:cs="宋体"/>
          <w:b/>
          <w:bCs/>
          <w:kern w:val="0"/>
          <w:sz w:val="28"/>
          <w:szCs w:val="28"/>
          <w:highlight w:val="none"/>
        </w:rPr>
        <w:t>（二）</w:t>
      </w:r>
      <w:r>
        <w:rPr>
          <w:rFonts w:hint="eastAsia" w:ascii="ˎ̥" w:hAnsi="ˎ̥"/>
          <w:b/>
          <w:color w:val="000000"/>
          <w:sz w:val="28"/>
          <w:szCs w:val="28"/>
          <w:highlight w:val="none"/>
        </w:rPr>
        <w:t>项目实施单位情况</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杨叶镇白沙村村民委员会（以下简称白沙村），法定代表人：叶金安。统一社会信用代码：</w:t>
      </w:r>
      <w:r>
        <w:rPr>
          <w:rFonts w:ascii="仿宋_GB2312" w:hAnsi="宋体" w:eastAsia="仿宋_GB2312"/>
          <w:sz w:val="28"/>
          <w:szCs w:val="28"/>
          <w:highlight w:val="none"/>
        </w:rPr>
        <w:t>54420704K26249002U</w:t>
      </w:r>
      <w:r>
        <w:rPr>
          <w:rFonts w:hint="eastAsia" w:ascii="仿宋_GB2312" w:hAnsi="宋体" w:eastAsia="仿宋_GB2312"/>
          <w:sz w:val="28"/>
          <w:szCs w:val="28"/>
          <w:highlight w:val="none"/>
        </w:rPr>
        <w:t>。</w:t>
      </w:r>
    </w:p>
    <w:p>
      <w:pPr>
        <w:widowControl/>
        <w:spacing w:line="300" w:lineRule="auto"/>
        <w:ind w:firstLine="537" w:firstLineChars="192"/>
        <w:jc w:val="left"/>
        <w:rPr>
          <w:rFonts w:ascii="ˎ̥" w:hAnsi="ˎ̥"/>
          <w:b/>
          <w:color w:val="000000"/>
          <w:sz w:val="28"/>
          <w:szCs w:val="28"/>
          <w:highlight w:val="none"/>
        </w:rPr>
      </w:pPr>
      <w:r>
        <w:rPr>
          <w:rFonts w:hint="eastAsia" w:ascii="仿宋_GB2312" w:hAnsi="宋体" w:eastAsia="仿宋_GB2312"/>
          <w:sz w:val="28"/>
          <w:szCs w:val="28"/>
          <w:highlight w:val="none"/>
        </w:rPr>
        <w:t>鄂州市临空经济区杨叶镇白沙村地处鄂州、黄石、黄冈三市交汇处，西距武汉70公里。白沙村有9个小组人口3,725人，其中脱贫户48户122人，监测户4户15人。现有耕地面积1</w:t>
      </w:r>
      <w:r>
        <w:rPr>
          <w:rFonts w:ascii="仿宋_GB2312" w:hAnsi="宋体" w:eastAsia="仿宋_GB2312"/>
          <w:sz w:val="28"/>
          <w:szCs w:val="28"/>
          <w:highlight w:val="none"/>
        </w:rPr>
        <w:t>,</w:t>
      </w:r>
      <w:r>
        <w:rPr>
          <w:rFonts w:hint="eastAsia" w:ascii="仿宋_GB2312" w:hAnsi="宋体" w:eastAsia="仿宋_GB2312"/>
          <w:sz w:val="28"/>
          <w:szCs w:val="28"/>
          <w:highlight w:val="none"/>
        </w:rPr>
        <w:t>351亩，人多地少。</w:t>
      </w:r>
    </w:p>
    <w:p>
      <w:pPr>
        <w:widowControl/>
        <w:spacing w:line="300" w:lineRule="auto"/>
        <w:ind w:firstLine="540" w:firstLineChars="192"/>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（三）项目基本情况</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鄂州市属亚热带季风气候区，年均降雨量1</w:t>
      </w:r>
      <w:r>
        <w:rPr>
          <w:rFonts w:ascii="仿宋_GB2312" w:hAnsi="宋体" w:eastAsia="仿宋_GB2312"/>
          <w:sz w:val="28"/>
          <w:szCs w:val="28"/>
          <w:highlight w:val="none"/>
        </w:rPr>
        <w:t>,</w:t>
      </w:r>
      <w:r>
        <w:rPr>
          <w:rFonts w:hint="eastAsia" w:ascii="仿宋_GB2312" w:hAnsi="宋体" w:eastAsia="仿宋_GB2312"/>
          <w:sz w:val="28"/>
          <w:szCs w:val="28"/>
          <w:highlight w:val="none"/>
        </w:rPr>
        <w:t>282.8毫米，年均日照2</w:t>
      </w:r>
      <w:r>
        <w:rPr>
          <w:rFonts w:ascii="仿宋_GB2312" w:hAnsi="宋体" w:eastAsia="仿宋_GB2312"/>
          <w:sz w:val="28"/>
          <w:szCs w:val="28"/>
          <w:highlight w:val="none"/>
        </w:rPr>
        <w:t>,</w:t>
      </w:r>
      <w:r>
        <w:rPr>
          <w:rFonts w:hint="eastAsia" w:ascii="仿宋_GB2312" w:hAnsi="宋体" w:eastAsia="仿宋_GB2312"/>
          <w:sz w:val="28"/>
          <w:szCs w:val="28"/>
          <w:highlight w:val="none"/>
        </w:rPr>
        <w:t>003.8小时，平均无霜期266天，平均气温17摄氏度，最高气温40.7摄氏度，最低气温-8摄氏度。适宜各类农作物及蔬菜瓜果种植。</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白沙村拟对撂荒地进行综合利用、开展特色果蔬种植，对周边环境进行升级改造，打造种植与休闲观光为一体的现代化示范种植、采摘园区、促进特色产业发展，促进农旅融合发展。建立完善联农富农机制，带动肌贯(监测)人口就业、发展壮大集体经济。结合古塘村冰库项目延伸蔬菜产业链，推进产业振兴。</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白沙村采摘园项目配套周边湾组宜居乡村建设，集采摘、休闲、娱乐观光为一体的现代生态农业，大力发展农产品深加工，注册一批农产品品牌，加快农村产业结构调整起到带动示范作用。该项目新建高标准果蔬种植大棚26</w:t>
      </w:r>
      <w:r>
        <w:rPr>
          <w:rFonts w:ascii="仿宋_GB2312" w:hAnsi="宋体" w:eastAsia="仿宋_GB2312"/>
          <w:sz w:val="28"/>
          <w:szCs w:val="28"/>
          <w:highlight w:val="none"/>
        </w:rPr>
        <w:t>,</w:t>
      </w:r>
      <w:r>
        <w:rPr>
          <w:rFonts w:hint="eastAsia" w:ascii="仿宋_GB2312" w:hAnsi="宋体" w:eastAsia="仿宋_GB2312"/>
          <w:sz w:val="28"/>
          <w:szCs w:val="28"/>
          <w:highlight w:val="none"/>
        </w:rPr>
        <w:t>302平方米、灌溉机井2口，配套建设沟渠1</w:t>
      </w:r>
      <w:r>
        <w:rPr>
          <w:rFonts w:ascii="仿宋_GB2312" w:hAnsi="宋体" w:eastAsia="仿宋_GB2312"/>
          <w:sz w:val="28"/>
          <w:szCs w:val="28"/>
          <w:highlight w:val="none"/>
        </w:rPr>
        <w:t>,</w:t>
      </w:r>
      <w:r>
        <w:rPr>
          <w:rFonts w:hint="eastAsia" w:ascii="仿宋_GB2312" w:hAnsi="宋体" w:eastAsia="仿宋_GB2312"/>
          <w:sz w:val="28"/>
          <w:szCs w:val="28"/>
          <w:highlight w:val="none"/>
        </w:rPr>
        <w:t>500米、机耕路200米、看护(仓储)用房40平方米，以及休闲、观光围栏、步道、绿化带建设。引进特色蔬菜、瓜果品种进行种植，开展“三品一标”认证及品牌创建。项目建成后，采取村集体+合作社+农户的经营方式，合作共赢。</w:t>
      </w:r>
    </w:p>
    <w:p>
      <w:pPr>
        <w:widowControl/>
        <w:spacing w:line="300" w:lineRule="auto"/>
        <w:ind w:firstLine="281" w:firstLineChars="100"/>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（四）项目建设的可行性</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项目建设的地理优势。改革开放以来，毗邻黄石城区的地理位置，杨叶镇农民一直种蔬菜瓜果以满足黄石的市场需求，既丰富了市民的物质需求又增加了自己的收入。随着社会的发展，市民追求生活品质，采摘、休闲贴近大自然是新的追求。</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立足当地，提高品质市场更广。在信息化及物质流动便捷的时代，对农产品品质提出了更高要求，提升品质注册商标进行深加工是农产品参与竞争获取市场的根本。提升种植技术形成规模，生产绿色、安全的农产品是前提。</w:t>
      </w:r>
    </w:p>
    <w:p>
      <w:pPr>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经济效益合作共赢。项目建成后，采取“村集体+合作社+农户”的生产经营方式。项目总面积45亩，其中农业合作社流转45亩。通过休闲、采摘提高农产品附加值每亩12000元:注册农产品品牌，增加租金收益，村民就近合作社务工获取工资收入;村集体在项目的经营上,采取村集体+合作社+农户的生产经营方式，提供服务收取租金，实现三方合作共赢。</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该项目符合巩固拓展脱贫攻坚成果同乡村振兴有效衔接项目的各项要求和发展方向。</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白沙村决定借乡村振兴产融发展的契机，实施白沙村采摘园项目。截至2023年11月末，项目基础设施建设已基本完成。</w:t>
      </w:r>
    </w:p>
    <w:p>
      <w:pPr>
        <w:widowControl/>
        <w:spacing w:line="300" w:lineRule="auto"/>
        <w:ind w:firstLine="540" w:firstLineChars="192"/>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（五）项目绩效目标</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白沙村采摘园项目，拟投资2,680,000元，其中：财政衔接资金2,000,000.00元，其他资金680,000.00元。具体绩效目标如下：</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产出指标：草莓、葡萄种植面积</w:t>
      </w:r>
      <w:r>
        <w:rPr>
          <w:rFonts w:ascii="Arial" w:hAnsi="Arial" w:eastAsia="仿宋_GB2312" w:cs="Arial"/>
          <w:sz w:val="28"/>
          <w:szCs w:val="28"/>
          <w:highlight w:val="none"/>
        </w:rPr>
        <w:t>≥</w:t>
      </w:r>
      <w:r>
        <w:rPr>
          <w:rFonts w:hint="eastAsia" w:ascii="仿宋_GB2312" w:hAnsi="宋体" w:eastAsia="仿宋_GB2312"/>
          <w:sz w:val="28"/>
          <w:szCs w:val="28"/>
          <w:highlight w:val="none"/>
        </w:rPr>
        <w:t>45亩；质量指标：种植业特色产业成活率</w:t>
      </w:r>
      <w:r>
        <w:rPr>
          <w:rFonts w:ascii="Arial" w:hAnsi="Arial" w:eastAsia="仿宋_GB2312" w:cs="Arial"/>
          <w:sz w:val="28"/>
          <w:szCs w:val="28"/>
          <w:highlight w:val="none"/>
        </w:rPr>
        <w:t>≥</w:t>
      </w:r>
      <w:r>
        <w:rPr>
          <w:rFonts w:hint="eastAsia" w:ascii="仿宋_GB2312" w:hAnsi="宋体" w:eastAsia="仿宋_GB2312"/>
          <w:sz w:val="28"/>
          <w:szCs w:val="28"/>
          <w:highlight w:val="none"/>
        </w:rPr>
        <w:t>100%；时效指标：项目完成及时率100%。</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经济效益：一是特色产业带动增加脱贫人口收入（总收入)</w:t>
      </w:r>
      <w:r>
        <w:rPr>
          <w:rFonts w:ascii="Arial" w:hAnsi="Arial" w:eastAsia="仿宋_GB2312" w:cs="Arial"/>
          <w:sz w:val="28"/>
          <w:szCs w:val="28"/>
          <w:highlight w:val="none"/>
        </w:rPr>
        <w:t>≥</w:t>
      </w:r>
      <w:r>
        <w:rPr>
          <w:rFonts w:hint="eastAsia" w:ascii="仿宋_GB2312" w:hAnsi="宋体" w:eastAsia="仿宋_GB2312"/>
          <w:sz w:val="28"/>
          <w:szCs w:val="28"/>
          <w:highlight w:val="none"/>
        </w:rPr>
        <w:t>20万元；二是脱贫村创收特色产业产值</w:t>
      </w:r>
      <w:r>
        <w:rPr>
          <w:rFonts w:ascii="Arial" w:hAnsi="Arial" w:eastAsia="仿宋_GB2312" w:cs="Arial"/>
          <w:sz w:val="28"/>
          <w:szCs w:val="28"/>
          <w:highlight w:val="none"/>
        </w:rPr>
        <w:t>≥</w:t>
      </w:r>
      <w:r>
        <w:rPr>
          <w:rFonts w:hint="eastAsia" w:ascii="仿宋_GB2312" w:hAnsi="宋体" w:eastAsia="仿宋_GB2312"/>
          <w:sz w:val="28"/>
          <w:szCs w:val="28"/>
          <w:highlight w:val="none"/>
        </w:rPr>
        <w:t>20万元；三是农业科技带动增加特色产业产值</w:t>
      </w:r>
      <w:r>
        <w:rPr>
          <w:rFonts w:ascii="Arial" w:hAnsi="Arial" w:eastAsia="仿宋_GB2312" w:cs="Arial"/>
          <w:sz w:val="28"/>
          <w:szCs w:val="28"/>
          <w:highlight w:val="none"/>
        </w:rPr>
        <w:t>≥</w:t>
      </w:r>
      <w:r>
        <w:rPr>
          <w:rFonts w:hint="eastAsia" w:ascii="Arial" w:hAnsi="Arial" w:eastAsia="仿宋_GB2312" w:cs="Arial"/>
          <w:sz w:val="28"/>
          <w:szCs w:val="28"/>
          <w:highlight w:val="none"/>
        </w:rPr>
        <w:t>30万</w:t>
      </w:r>
      <w:r>
        <w:rPr>
          <w:rFonts w:hint="eastAsia" w:ascii="仿宋_GB2312" w:hAnsi="宋体" w:eastAsia="仿宋_GB2312"/>
          <w:sz w:val="28"/>
          <w:szCs w:val="28"/>
          <w:highlight w:val="none"/>
        </w:rPr>
        <w:t>元。</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3、</w:t>
      </w:r>
      <w:r>
        <w:rPr>
          <w:rFonts w:hint="eastAsia" w:ascii="仿宋_GB2312" w:hAnsi="宋体" w:eastAsia="仿宋_GB2312"/>
          <w:sz w:val="28"/>
          <w:szCs w:val="28"/>
          <w:highlight w:val="none"/>
        </w:rPr>
        <w:t>社会效益：一是受益建档立卡脱贫人口数</w:t>
      </w:r>
      <w:r>
        <w:rPr>
          <w:rFonts w:ascii="Arial" w:hAnsi="Arial" w:eastAsia="仿宋_GB2312" w:cs="Arial"/>
          <w:sz w:val="28"/>
          <w:szCs w:val="28"/>
          <w:highlight w:val="none"/>
        </w:rPr>
        <w:t>≥</w:t>
      </w:r>
      <w:r>
        <w:rPr>
          <w:rFonts w:hint="eastAsia" w:ascii="仿宋_GB2312" w:hAnsi="宋体" w:eastAsia="仿宋_GB2312"/>
          <w:sz w:val="28"/>
          <w:szCs w:val="28"/>
          <w:highlight w:val="none"/>
        </w:rPr>
        <w:t>30人；二是特色产业带动增加脱贫人口就业人数</w:t>
      </w:r>
      <w:r>
        <w:rPr>
          <w:rFonts w:ascii="Arial" w:hAnsi="Arial" w:eastAsia="仿宋_GB2312" w:cs="Arial"/>
          <w:sz w:val="28"/>
          <w:szCs w:val="28"/>
          <w:highlight w:val="none"/>
        </w:rPr>
        <w:t>≥</w:t>
      </w:r>
      <w:r>
        <w:rPr>
          <w:rFonts w:hint="eastAsia" w:ascii="仿宋_GB2312" w:hAnsi="宋体" w:eastAsia="仿宋_GB2312"/>
          <w:sz w:val="28"/>
          <w:szCs w:val="28"/>
          <w:highlight w:val="none"/>
        </w:rPr>
        <w:t>10人。</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val="en-US" w:eastAsia="zh-CN"/>
        </w:rPr>
        <w:t>4、</w:t>
      </w:r>
      <w:r>
        <w:rPr>
          <w:rFonts w:hint="eastAsia" w:ascii="仿宋_GB2312" w:hAnsi="宋体" w:eastAsia="仿宋_GB2312"/>
          <w:sz w:val="28"/>
          <w:szCs w:val="28"/>
          <w:highlight w:val="none"/>
        </w:rPr>
        <w:t>生态效益：一是农业科技改善耕地面积</w:t>
      </w:r>
      <w:r>
        <w:rPr>
          <w:rFonts w:ascii="Arial" w:hAnsi="Arial" w:eastAsia="仿宋_GB2312" w:cs="Arial"/>
          <w:sz w:val="28"/>
          <w:szCs w:val="28"/>
          <w:highlight w:val="none"/>
        </w:rPr>
        <w:t>≥</w:t>
      </w:r>
      <w:r>
        <w:rPr>
          <w:rFonts w:hint="eastAsia" w:ascii="仿宋_GB2312" w:hAnsi="宋体" w:eastAsia="仿宋_GB2312"/>
          <w:sz w:val="28"/>
          <w:szCs w:val="28"/>
          <w:highlight w:val="none"/>
        </w:rPr>
        <w:t>45亩；二是周边环境整洁、美化比率</w:t>
      </w:r>
      <w:r>
        <w:rPr>
          <w:rFonts w:ascii="Arial" w:hAnsi="Arial" w:eastAsia="仿宋_GB2312" w:cs="Arial"/>
          <w:sz w:val="28"/>
          <w:szCs w:val="28"/>
          <w:highlight w:val="none"/>
        </w:rPr>
        <w:t>≥</w:t>
      </w:r>
      <w:r>
        <w:rPr>
          <w:rFonts w:hint="eastAsia" w:ascii="仿宋_GB2312" w:hAnsi="宋体" w:eastAsia="仿宋_GB2312"/>
          <w:sz w:val="28"/>
          <w:szCs w:val="28"/>
          <w:highlight w:val="none"/>
        </w:rPr>
        <w:t>100%。</w:t>
      </w:r>
    </w:p>
    <w:p>
      <w:pPr>
        <w:spacing w:line="300" w:lineRule="auto"/>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可持续效益：长效产业持续带动增收时间</w:t>
      </w:r>
      <w:r>
        <w:rPr>
          <w:rFonts w:ascii="Arial" w:hAnsi="Arial" w:eastAsia="仿宋_GB2312" w:cs="Arial"/>
          <w:sz w:val="28"/>
          <w:szCs w:val="28"/>
          <w:highlight w:val="none"/>
        </w:rPr>
        <w:t>≥</w:t>
      </w:r>
      <w:r>
        <w:rPr>
          <w:rFonts w:hint="eastAsia" w:ascii="仿宋_GB2312" w:hAnsi="宋体" w:eastAsia="仿宋_GB2312"/>
          <w:sz w:val="28"/>
          <w:szCs w:val="28"/>
          <w:highlight w:val="none"/>
        </w:rPr>
        <w:t>10年。</w:t>
      </w:r>
    </w:p>
    <w:p>
      <w:pPr>
        <w:spacing w:line="300" w:lineRule="auto"/>
        <w:ind w:firstLine="562" w:firstLineChars="200"/>
        <w:outlineLvl w:val="9"/>
        <w:rPr>
          <w:rFonts w:hint="eastAsia"/>
          <w:b/>
          <w:bCs/>
          <w:sz w:val="28"/>
          <w:szCs w:val="28"/>
          <w:highlight w:val="none"/>
        </w:rPr>
      </w:pPr>
      <w:r>
        <w:rPr>
          <w:rFonts w:hint="eastAsia"/>
          <w:b/>
          <w:bCs/>
          <w:sz w:val="28"/>
          <w:szCs w:val="28"/>
          <w:highlight w:val="none"/>
        </w:rPr>
        <w:t>（</w:t>
      </w:r>
      <w:r>
        <w:rPr>
          <w:rFonts w:hint="eastAsia"/>
          <w:b/>
          <w:bCs/>
          <w:sz w:val="28"/>
          <w:szCs w:val="28"/>
          <w:highlight w:val="none"/>
          <w:lang w:val="en-US" w:eastAsia="zh-CN"/>
        </w:rPr>
        <w:t>六</w:t>
      </w:r>
      <w:r>
        <w:rPr>
          <w:rFonts w:hint="eastAsia"/>
          <w:b/>
          <w:bCs/>
          <w:sz w:val="28"/>
          <w:szCs w:val="28"/>
          <w:highlight w:val="none"/>
        </w:rPr>
        <w:t>）</w:t>
      </w:r>
      <w:r>
        <w:rPr>
          <w:rFonts w:hint="eastAsia" w:ascii="宋体" w:hAnsi="宋体" w:cs="宋体"/>
          <w:b/>
          <w:bCs/>
          <w:kern w:val="0"/>
          <w:sz w:val="28"/>
          <w:szCs w:val="28"/>
          <w:highlight w:val="none"/>
          <w:lang w:val="en-US" w:eastAsia="zh-CN"/>
        </w:rPr>
        <w:t>项目申报及完成投资情况</w:t>
      </w:r>
    </w:p>
    <w:p>
      <w:pPr>
        <w:spacing w:line="300" w:lineRule="auto"/>
        <w:ind w:firstLine="560" w:firstLineChars="200"/>
        <w:jc w:val="both"/>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1、项目申报投资。项目申报</w:t>
      </w:r>
      <w:r>
        <w:rPr>
          <w:rFonts w:hint="eastAsia" w:ascii="仿宋_GB2312" w:eastAsia="仿宋_GB2312"/>
          <w:sz w:val="28"/>
          <w:szCs w:val="28"/>
          <w:highlight w:val="none"/>
        </w:rPr>
        <w:t>投资</w:t>
      </w:r>
      <w:r>
        <w:rPr>
          <w:rFonts w:hint="eastAsia" w:ascii="仿宋_GB2312" w:eastAsia="仿宋_GB2312"/>
          <w:sz w:val="28"/>
          <w:szCs w:val="28"/>
          <w:highlight w:val="none"/>
          <w:lang w:val="en-US" w:eastAsia="zh-CN"/>
        </w:rPr>
        <w:t>2,680,000.00元，其中：财政衔接资金2,000,000.00元，其他资金680,000.00元。</w:t>
      </w:r>
    </w:p>
    <w:p>
      <w:pPr>
        <w:spacing w:line="300" w:lineRule="auto"/>
        <w:ind w:firstLine="560" w:firstLineChars="200"/>
        <w:jc w:val="both"/>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2、项目完成投资。经审查：截至2023年12月31日，项目竣工总投资2,724,673.73元，其中：工程审定投资2,676,673.73元，设计费28,000.00元，审计费20,000.00元。</w:t>
      </w:r>
    </w:p>
    <w:p>
      <w:pPr>
        <w:spacing w:line="300" w:lineRule="auto"/>
        <w:ind w:firstLine="560" w:firstLineChars="200"/>
        <w:jc w:val="both"/>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3、项目超额投资。项目实际完成投资2,724,673.73元，超过申报投资44,673.73元，超支率1.67%。</w:t>
      </w:r>
    </w:p>
    <w:p>
      <w:pPr>
        <w:widowControl/>
        <w:spacing w:line="300" w:lineRule="auto"/>
        <w:ind w:firstLine="562" w:firstLineChars="200"/>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w:t>
      </w:r>
      <w:r>
        <w:rPr>
          <w:rFonts w:hint="eastAsia" w:ascii="宋体" w:hAnsi="宋体" w:cs="宋体"/>
          <w:b/>
          <w:bCs/>
          <w:kern w:val="0"/>
          <w:sz w:val="28"/>
          <w:szCs w:val="28"/>
          <w:highlight w:val="none"/>
          <w:lang w:val="en-US" w:eastAsia="zh-CN"/>
        </w:rPr>
        <w:t>七</w:t>
      </w:r>
      <w:r>
        <w:rPr>
          <w:rFonts w:hint="eastAsia" w:ascii="宋体" w:hAnsi="宋体" w:cs="宋体"/>
          <w:b/>
          <w:bCs/>
          <w:kern w:val="0"/>
          <w:sz w:val="28"/>
          <w:szCs w:val="28"/>
          <w:highlight w:val="none"/>
        </w:rPr>
        <w:t>）项目资金收付情况</w:t>
      </w:r>
    </w:p>
    <w:p>
      <w:pPr>
        <w:widowControl/>
        <w:spacing w:line="300" w:lineRule="auto"/>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临空经济区乡村振兴财政衔接资金，采取财政直达方式，直接拨付至用款单位。</w:t>
      </w:r>
    </w:p>
    <w:p>
      <w:pPr>
        <w:widowControl/>
        <w:spacing w:line="300" w:lineRule="auto"/>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该项目安排财政衔接资金2,000,000.00元。</w:t>
      </w:r>
    </w:p>
    <w:p>
      <w:pPr>
        <w:widowControl/>
        <w:spacing w:line="300" w:lineRule="auto"/>
        <w:ind w:firstLine="560" w:firstLineChars="200"/>
        <w:jc w:val="both"/>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经审查：</w:t>
      </w:r>
      <w:r>
        <w:rPr>
          <w:rFonts w:hint="eastAsia" w:ascii="仿宋_GB2312" w:hAnsi="宋体" w:eastAsia="仿宋_GB2312"/>
          <w:sz w:val="28"/>
          <w:szCs w:val="28"/>
          <w:highlight w:val="none"/>
        </w:rPr>
        <w:t>截至202</w:t>
      </w:r>
      <w:r>
        <w:rPr>
          <w:rFonts w:ascii="仿宋_GB2312" w:hAnsi="宋体" w:eastAsia="仿宋_GB2312"/>
          <w:sz w:val="28"/>
          <w:szCs w:val="28"/>
          <w:highlight w:val="none"/>
        </w:rPr>
        <w:t>3</w:t>
      </w:r>
      <w:r>
        <w:rPr>
          <w:rFonts w:hint="eastAsia" w:ascii="仿宋_GB2312" w:hAnsi="宋体" w:eastAsia="仿宋_GB2312"/>
          <w:sz w:val="28"/>
          <w:szCs w:val="28"/>
          <w:highlight w:val="none"/>
        </w:rPr>
        <w:t>年1</w:t>
      </w: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月3</w:t>
      </w:r>
      <w:r>
        <w:rPr>
          <w:rFonts w:hint="eastAsia" w:ascii="仿宋_GB2312" w:hAnsi="宋体" w:eastAsia="仿宋_GB2312"/>
          <w:sz w:val="28"/>
          <w:szCs w:val="28"/>
          <w:highlight w:val="none"/>
          <w:lang w:val="en-US" w:eastAsia="zh-CN"/>
        </w:rPr>
        <w:t>1</w:t>
      </w:r>
      <w:r>
        <w:rPr>
          <w:rFonts w:hint="eastAsia" w:ascii="仿宋_GB2312" w:hAnsi="宋体" w:eastAsia="仿宋_GB2312"/>
          <w:sz w:val="28"/>
          <w:szCs w:val="28"/>
          <w:highlight w:val="none"/>
        </w:rPr>
        <w:t>日，</w:t>
      </w:r>
      <w:r>
        <w:rPr>
          <w:rFonts w:hint="eastAsia" w:ascii="仿宋_GB2312" w:hAnsi="宋体" w:eastAsia="仿宋_GB2312"/>
          <w:sz w:val="28"/>
          <w:szCs w:val="28"/>
          <w:highlight w:val="none"/>
          <w:lang w:val="en-US" w:eastAsia="zh-CN"/>
        </w:rPr>
        <w:t>实际</w:t>
      </w:r>
      <w:r>
        <w:rPr>
          <w:rFonts w:hint="eastAsia" w:ascii="仿宋_GB2312" w:hAnsi="宋体" w:eastAsia="仿宋_GB2312"/>
          <w:sz w:val="28"/>
          <w:szCs w:val="28"/>
          <w:highlight w:val="none"/>
        </w:rPr>
        <w:t>拨付财政衔接资金</w:t>
      </w:r>
      <w:r>
        <w:rPr>
          <w:rFonts w:hint="eastAsia" w:ascii="仿宋_GB2312" w:hAnsi="宋体" w:eastAsia="仿宋_GB2312"/>
          <w:sz w:val="28"/>
          <w:szCs w:val="28"/>
          <w:highlight w:val="none"/>
          <w:lang w:val="en-US" w:eastAsia="zh-CN"/>
        </w:rPr>
        <w:t>2,000,000.00</w:t>
      </w:r>
      <w:r>
        <w:rPr>
          <w:rFonts w:hint="eastAsia" w:ascii="仿宋_GB2312" w:hAnsi="宋体" w:eastAsia="仿宋_GB2312"/>
          <w:sz w:val="28"/>
          <w:szCs w:val="28"/>
          <w:highlight w:val="none"/>
        </w:rPr>
        <w:t>元，其中：</w:t>
      </w:r>
      <w:r>
        <w:rPr>
          <w:rFonts w:hint="eastAsia" w:ascii="仿宋_GB2312" w:hAnsi="宋体" w:eastAsia="仿宋_GB2312"/>
          <w:sz w:val="28"/>
          <w:szCs w:val="28"/>
          <w:highlight w:val="none"/>
          <w:lang w:val="en-US" w:eastAsia="zh-CN"/>
        </w:rPr>
        <w:t>支付</w:t>
      </w:r>
      <w:r>
        <w:rPr>
          <w:rFonts w:hint="eastAsia" w:ascii="仿宋_GB2312" w:hAnsi="宋体" w:eastAsia="仿宋_GB2312"/>
          <w:sz w:val="28"/>
          <w:szCs w:val="28"/>
          <w:highlight w:val="none"/>
        </w:rPr>
        <w:t>工程款</w:t>
      </w:r>
      <w:r>
        <w:rPr>
          <w:rFonts w:hint="eastAsia" w:ascii="仿宋_GB2312" w:hAnsi="宋体" w:eastAsia="仿宋_GB2312"/>
          <w:sz w:val="28"/>
          <w:szCs w:val="28"/>
          <w:highlight w:val="none"/>
          <w:lang w:val="en-US" w:eastAsia="zh-CN"/>
        </w:rPr>
        <w:t>1,952,000</w:t>
      </w:r>
      <w:r>
        <w:rPr>
          <w:rFonts w:hint="eastAsia" w:ascii="仿宋_GB2312" w:hAnsi="宋体" w:eastAsia="仿宋_GB2312"/>
          <w:sz w:val="28"/>
          <w:szCs w:val="28"/>
          <w:highlight w:val="none"/>
        </w:rPr>
        <w:t>.0</w:t>
      </w:r>
      <w:r>
        <w:rPr>
          <w:rFonts w:ascii="仿宋_GB2312" w:hAnsi="宋体" w:eastAsia="仿宋_GB2312"/>
          <w:sz w:val="28"/>
          <w:szCs w:val="28"/>
          <w:highlight w:val="none"/>
        </w:rPr>
        <w:t>0</w:t>
      </w:r>
      <w:r>
        <w:rPr>
          <w:rFonts w:hint="eastAsia" w:ascii="仿宋_GB2312" w:hAnsi="宋体" w:eastAsia="仿宋_GB2312"/>
          <w:sz w:val="28"/>
          <w:szCs w:val="28"/>
          <w:highlight w:val="none"/>
        </w:rPr>
        <w:t>元，</w:t>
      </w:r>
      <w:r>
        <w:rPr>
          <w:rFonts w:hint="eastAsia" w:ascii="仿宋_GB2312" w:hAnsi="宋体" w:eastAsia="仿宋_GB2312"/>
          <w:sz w:val="28"/>
          <w:szCs w:val="28"/>
          <w:highlight w:val="none"/>
          <w:lang w:val="en-US" w:eastAsia="zh-CN"/>
        </w:rPr>
        <w:t>支付</w:t>
      </w:r>
      <w:r>
        <w:rPr>
          <w:rFonts w:hint="eastAsia" w:ascii="仿宋_GB2312" w:hAnsi="宋体" w:eastAsia="仿宋_GB2312"/>
          <w:sz w:val="28"/>
          <w:szCs w:val="28"/>
          <w:highlight w:val="none"/>
        </w:rPr>
        <w:t>设计费</w:t>
      </w:r>
      <w:r>
        <w:rPr>
          <w:rFonts w:ascii="仿宋_GB2312" w:hAnsi="宋体" w:eastAsia="仿宋_GB2312"/>
          <w:sz w:val="28"/>
          <w:szCs w:val="28"/>
          <w:highlight w:val="none"/>
        </w:rPr>
        <w:t>28,000.00</w:t>
      </w:r>
      <w:r>
        <w:rPr>
          <w:rFonts w:hint="eastAsia" w:ascii="仿宋_GB2312" w:hAnsi="宋体" w:eastAsia="仿宋_GB2312"/>
          <w:sz w:val="28"/>
          <w:szCs w:val="28"/>
          <w:highlight w:val="none"/>
        </w:rPr>
        <w:t>元，</w:t>
      </w:r>
      <w:r>
        <w:rPr>
          <w:rFonts w:hint="eastAsia" w:ascii="仿宋_GB2312" w:hAnsi="宋体" w:eastAsia="仿宋_GB2312"/>
          <w:sz w:val="28"/>
          <w:szCs w:val="28"/>
          <w:highlight w:val="none"/>
          <w:lang w:val="en-US" w:eastAsia="zh-CN"/>
        </w:rPr>
        <w:t>支付审计费20,000.00元。</w:t>
      </w:r>
    </w:p>
    <w:p>
      <w:pPr>
        <w:widowControl/>
        <w:spacing w:line="300" w:lineRule="auto"/>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rPr>
        <w:t>财政衔接资金</w:t>
      </w:r>
      <w:r>
        <w:rPr>
          <w:rFonts w:hint="eastAsia" w:ascii="仿宋_GB2312" w:hAnsi="宋体" w:eastAsia="仿宋_GB2312"/>
          <w:sz w:val="28"/>
          <w:szCs w:val="28"/>
          <w:highlight w:val="none"/>
          <w:lang w:val="en-US" w:eastAsia="zh-CN"/>
        </w:rPr>
        <w:t>已全额拨付。</w:t>
      </w:r>
    </w:p>
    <w:p>
      <w:pPr>
        <w:widowControl/>
        <w:spacing w:line="300" w:lineRule="auto"/>
        <w:ind w:firstLine="413" w:firstLineChars="147"/>
        <w:jc w:val="left"/>
        <w:outlineLvl w:val="9"/>
        <w:rPr>
          <w:rFonts w:hint="eastAsia" w:ascii="宋体" w:hAnsi="宋体" w:cs="宋体"/>
          <w:b/>
          <w:bCs/>
          <w:kern w:val="0"/>
          <w:sz w:val="28"/>
          <w:szCs w:val="28"/>
          <w:highlight w:val="none"/>
        </w:rPr>
      </w:pPr>
      <w:r>
        <w:rPr>
          <w:rFonts w:hint="eastAsia" w:ascii="宋体" w:hAnsi="宋体" w:cs="宋体"/>
          <w:b/>
          <w:bCs/>
          <w:kern w:val="0"/>
          <w:sz w:val="28"/>
          <w:szCs w:val="28"/>
          <w:highlight w:val="none"/>
        </w:rPr>
        <w:t>二、绩效评价工作情况</w:t>
      </w:r>
    </w:p>
    <w:p>
      <w:pPr>
        <w:widowControl/>
        <w:spacing w:line="300" w:lineRule="auto"/>
        <w:ind w:firstLine="413" w:firstLineChars="147"/>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（一）绩效评价目的</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通过本次评价，旨在全面了解白沙村采摘园项目建设情况、财政衔接资金拨付和使用情况以及取得的综合绩效。同时通过对项目资金绩效评价，总结经验、发现问题、提出改进建议，保证项目资金使用管理的规范性、安全性和有效性。</w:t>
      </w:r>
    </w:p>
    <w:p>
      <w:pPr>
        <w:widowControl/>
        <w:spacing w:line="300" w:lineRule="auto"/>
        <w:ind w:firstLine="413" w:firstLineChars="147"/>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（二）评价对象与范围</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本次资金绩效评价对象与范围为：白沙村采摘园项目财政衔接资金</w:t>
      </w:r>
      <w:r>
        <w:rPr>
          <w:rFonts w:ascii="仿宋_GB2312" w:hAnsi="宋体" w:eastAsia="仿宋_GB2312"/>
          <w:sz w:val="28"/>
          <w:szCs w:val="28"/>
          <w:highlight w:val="none"/>
        </w:rPr>
        <w:t>2,000,000.00</w:t>
      </w:r>
      <w:r>
        <w:rPr>
          <w:rFonts w:hint="eastAsia" w:ascii="仿宋_GB2312" w:hAnsi="宋体" w:eastAsia="仿宋_GB2312"/>
          <w:sz w:val="28"/>
          <w:szCs w:val="28"/>
          <w:highlight w:val="none"/>
        </w:rPr>
        <w:t>元及其他资金6</w:t>
      </w:r>
      <w:r>
        <w:rPr>
          <w:rFonts w:ascii="仿宋_GB2312" w:hAnsi="宋体" w:eastAsia="仿宋_GB2312"/>
          <w:sz w:val="28"/>
          <w:szCs w:val="28"/>
          <w:highlight w:val="none"/>
        </w:rPr>
        <w:t>80,000.00</w:t>
      </w:r>
      <w:r>
        <w:rPr>
          <w:rFonts w:hint="eastAsia" w:ascii="仿宋_GB2312" w:hAnsi="宋体" w:eastAsia="仿宋_GB2312"/>
          <w:sz w:val="28"/>
          <w:szCs w:val="28"/>
          <w:highlight w:val="none"/>
        </w:rPr>
        <w:t>元的拨付和使用情况。</w:t>
      </w:r>
    </w:p>
    <w:p>
      <w:pPr>
        <w:widowControl/>
        <w:spacing w:line="300" w:lineRule="auto"/>
        <w:ind w:firstLine="413" w:firstLineChars="147"/>
        <w:jc w:val="left"/>
        <w:outlineLvl w:val="9"/>
        <w:rPr>
          <w:rFonts w:hint="eastAsia" w:ascii="宋体" w:hAnsi="宋体" w:cs="宋体"/>
          <w:b/>
          <w:bCs/>
          <w:kern w:val="0"/>
          <w:sz w:val="28"/>
          <w:szCs w:val="28"/>
          <w:highlight w:val="none"/>
        </w:rPr>
      </w:pPr>
      <w:r>
        <w:rPr>
          <w:rFonts w:hint="eastAsia" w:ascii="宋体" w:hAnsi="宋体" w:cs="宋体"/>
          <w:b/>
          <w:bCs/>
          <w:kern w:val="0"/>
          <w:sz w:val="28"/>
          <w:szCs w:val="28"/>
          <w:highlight w:val="none"/>
        </w:rPr>
        <w:t>二、评价结论</w:t>
      </w:r>
    </w:p>
    <w:p>
      <w:pPr>
        <w:widowControl/>
        <w:spacing w:line="300" w:lineRule="auto"/>
        <w:ind w:firstLine="413" w:firstLineChars="147"/>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（一）评分结果</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白沙村采摘园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经评价工作组评定，白沙村采摘园项目财政衔接资金绩效评价综合得分为</w:t>
      </w:r>
      <w:r>
        <w:rPr>
          <w:rFonts w:hint="eastAsia" w:ascii="仿宋_GB2312" w:hAnsi="宋体" w:eastAsia="仿宋_GB2312"/>
          <w:sz w:val="28"/>
          <w:szCs w:val="28"/>
          <w:highlight w:val="none"/>
          <w:lang w:val="en-US" w:eastAsia="zh-CN"/>
        </w:rPr>
        <w:t>94.5</w:t>
      </w:r>
      <w:r>
        <w:rPr>
          <w:rFonts w:hint="eastAsia" w:ascii="仿宋_GB2312" w:hAnsi="宋体" w:eastAsia="仿宋_GB2312"/>
          <w:sz w:val="28"/>
          <w:szCs w:val="28"/>
          <w:highlight w:val="none"/>
        </w:rPr>
        <w:t>分，绩效等级为</w:t>
      </w:r>
      <w:r>
        <w:rPr>
          <w:rFonts w:hint="eastAsia" w:ascii="仿宋_GB2312" w:hAnsi="宋体" w:eastAsia="仿宋_GB2312"/>
          <w:sz w:val="28"/>
          <w:szCs w:val="28"/>
          <w:highlight w:val="none"/>
          <w:lang w:val="en-US" w:eastAsia="zh-CN"/>
        </w:rPr>
        <w:t>优</w:t>
      </w:r>
      <w:r>
        <w:rPr>
          <w:rFonts w:hint="eastAsia" w:ascii="仿宋_GB2312" w:hAnsi="宋体" w:eastAsia="仿宋_GB2312"/>
          <w:sz w:val="28"/>
          <w:szCs w:val="28"/>
          <w:highlight w:val="none"/>
        </w:rPr>
        <w:t>。</w:t>
      </w:r>
    </w:p>
    <w:tbl>
      <w:tblPr>
        <w:tblStyle w:val="10"/>
        <w:tblW w:w="847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530"/>
        <w:gridCol w:w="1476"/>
        <w:gridCol w:w="530"/>
        <w:gridCol w:w="1932"/>
        <w:gridCol w:w="540"/>
        <w:gridCol w:w="616"/>
        <w:gridCol w:w="22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79"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highlight w:val="none"/>
                <w:u w:val="none"/>
              </w:rPr>
            </w:pPr>
            <w:r>
              <w:rPr>
                <w:rFonts w:hint="eastAsia" w:ascii="宋体" w:hAnsi="宋体" w:eastAsia="宋体" w:cs="宋体"/>
                <w:b/>
                <w:bCs/>
                <w:i w:val="0"/>
                <w:iCs w:val="0"/>
                <w:color w:val="000000"/>
                <w:kern w:val="0"/>
                <w:sz w:val="28"/>
                <w:szCs w:val="28"/>
                <w:highlight w:val="none"/>
                <w:u w:val="none"/>
                <w:lang w:val="en-US" w:eastAsia="zh-CN" w:bidi="ar"/>
              </w:rPr>
              <w:t>古塘村、白沙村休闲观光采摘示范园项目评分简表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一级</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二级</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w:t>
            </w:r>
          </w:p>
        </w:tc>
        <w:tc>
          <w:tcPr>
            <w:tcW w:w="1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三级指标</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w:t>
            </w: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得分</w:t>
            </w:r>
          </w:p>
        </w:tc>
        <w:tc>
          <w:tcPr>
            <w:tcW w:w="2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失分原因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值</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值</w:t>
            </w:r>
          </w:p>
        </w:tc>
        <w:tc>
          <w:tcPr>
            <w:tcW w:w="1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highlight w:val="none"/>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值</w:t>
            </w: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2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决策</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项目立项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立项依据充分性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立项程序规范性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绩效目标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绩效目标合理性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绩效指标的批复</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资金投入</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财政衔接资金明确性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其他配套资金明确性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过程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资金落实</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资金到位率</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到位及时率</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2</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财务管理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资金拨付方式是否规范</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资金使用合规性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财务监控有效性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业务管理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管理制度健全性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未实行监理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制度执行有效性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未实行监理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项目质量可控性</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未实行监理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档案管理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档案规范性</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目标完成情况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产出数量</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产出质量</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产出时效（项目完成及时率）</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5</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资金使用情况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资金使用率</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成本节约率</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2.5</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超支1.67%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效果</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27</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社会经济效益</w:t>
            </w:r>
          </w:p>
        </w:tc>
        <w:tc>
          <w:tcPr>
            <w:tcW w:w="5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17</w:t>
            </w: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经济效益</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5</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社会效益</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生态效益</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服务对象满意度</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可持续影响</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7</w:t>
            </w: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建后经营管理</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7</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5</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未见管护合同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楷体_GB2312" w:hAnsi="宋体" w:eastAsia="楷体_GB2312" w:cs="楷体_GB2312"/>
                <w:i w:val="0"/>
                <w:iCs w:val="0"/>
                <w:color w:val="000000"/>
                <w:sz w:val="20"/>
                <w:szCs w:val="20"/>
                <w:highlight w:val="none"/>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3</w:t>
            </w:r>
          </w:p>
        </w:tc>
        <w:tc>
          <w:tcPr>
            <w:tcW w:w="1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群众满意度</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0"/>
                <w:szCs w:val="20"/>
                <w:highlight w:val="none"/>
                <w:u w:val="none"/>
              </w:rPr>
            </w:pPr>
            <w:r>
              <w:rPr>
                <w:rFonts w:hint="default" w:ascii="楷体_GB2312" w:hAnsi="宋体" w:eastAsia="楷体_GB2312" w:cs="楷体_GB2312"/>
                <w:i w:val="0"/>
                <w:iCs w:val="0"/>
                <w:color w:val="000000"/>
                <w:kern w:val="0"/>
                <w:sz w:val="20"/>
                <w:szCs w:val="20"/>
                <w:highlight w:val="none"/>
                <w:u w:val="none"/>
                <w:lang w:val="en-US" w:eastAsia="zh-CN" w:bidi="ar"/>
              </w:rPr>
              <w:t>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rPr>
            </w:pPr>
            <w:r>
              <w:rPr>
                <w:rFonts w:hint="eastAsia" w:ascii="宋体" w:hAnsi="宋体" w:cs="宋体"/>
                <w:i w:val="0"/>
                <w:iCs w:val="0"/>
                <w:color w:val="000000"/>
                <w:kern w:val="0"/>
                <w:sz w:val="20"/>
                <w:szCs w:val="20"/>
                <w:highlight w:val="none"/>
                <w:u w:val="none"/>
                <w:lang w:val="en-US" w:eastAsia="zh-CN" w:bidi="ar"/>
              </w:rPr>
              <w:t>94.5</w:t>
            </w:r>
          </w:p>
        </w:tc>
        <w:tc>
          <w:tcPr>
            <w:tcW w:w="22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highlight w:val="none"/>
                <w:u w:val="none"/>
              </w:rPr>
            </w:pPr>
          </w:p>
        </w:tc>
      </w:tr>
    </w:tbl>
    <w:p>
      <w:pPr>
        <w:spacing w:line="300" w:lineRule="auto"/>
        <w:ind w:firstLine="562" w:firstLineChars="200"/>
        <w:outlineLvl w:val="9"/>
        <w:rPr>
          <w:rFonts w:ascii="仿宋_GB2312"/>
          <w:b/>
          <w:sz w:val="28"/>
          <w:szCs w:val="28"/>
          <w:highlight w:val="none"/>
        </w:rPr>
      </w:pPr>
      <w:bookmarkStart w:id="3" w:name="_Toc1463292997"/>
      <w:r>
        <w:rPr>
          <w:rFonts w:hint="eastAsia" w:ascii="宋体" w:hAnsi="宋体" w:cs="宋体"/>
          <w:b/>
          <w:kern w:val="0"/>
          <w:sz w:val="28"/>
          <w:szCs w:val="28"/>
          <w:highlight w:val="none"/>
        </w:rPr>
        <w:t>（二）</w:t>
      </w:r>
      <w:r>
        <w:rPr>
          <w:rFonts w:hint="eastAsia" w:ascii="仿宋_GB2312"/>
          <w:b/>
          <w:sz w:val="28"/>
          <w:szCs w:val="28"/>
          <w:highlight w:val="none"/>
        </w:rPr>
        <w:t>主要结论</w:t>
      </w:r>
      <w:bookmarkEnd w:id="3"/>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通过对白沙村采摘园项目财政衔接资金在投入、过程、产出和效果等方面的综合评价，得出如下结论：</w:t>
      </w:r>
    </w:p>
    <w:p>
      <w:pPr>
        <w:spacing w:line="300" w:lineRule="auto"/>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1、白沙村采摘园项目的立项，符合国家乡村振兴政策，特别是依托黄石市场，契合观光农业的实际情况。项目所设定的绩效目标依据充分，符合客观事实；根据绩效目标设定的绩效指标较为明确。</w:t>
      </w:r>
    </w:p>
    <w:p>
      <w:pPr>
        <w:spacing w:line="300" w:lineRule="auto"/>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2、项目在工程管理方面，基本符合国家政策要求。</w:t>
      </w:r>
      <w:r>
        <w:rPr>
          <w:rFonts w:hint="eastAsia" w:ascii="仿宋_GB2312" w:hAnsi="宋体" w:eastAsia="仿宋_GB2312"/>
          <w:sz w:val="28"/>
          <w:szCs w:val="28"/>
          <w:highlight w:val="none"/>
          <w:lang w:val="en-US" w:eastAsia="zh-CN"/>
        </w:rPr>
        <w:t>但是，未见对项目实行监理制度。</w:t>
      </w:r>
    </w:p>
    <w:p>
      <w:pPr>
        <w:spacing w:line="300" w:lineRule="auto"/>
        <w:ind w:firstLine="560" w:firstLineChars="200"/>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3、工程投资控制不严。经审查，实际完成投资</w:t>
      </w:r>
      <w:r>
        <w:rPr>
          <w:rFonts w:hint="eastAsia" w:ascii="仿宋_GB2312" w:eastAsia="仿宋_GB2312"/>
          <w:sz w:val="28"/>
          <w:szCs w:val="28"/>
          <w:highlight w:val="none"/>
          <w:lang w:val="en-US" w:eastAsia="zh-CN"/>
        </w:rPr>
        <w:t>2,724,673.73元，超过申报投资44,673.73元，超支率1.67%。可能会增加村集体经济负担。</w:t>
      </w:r>
    </w:p>
    <w:p>
      <w:pPr>
        <w:widowControl/>
        <w:spacing w:line="300" w:lineRule="auto"/>
        <w:ind w:firstLine="540" w:firstLineChars="192"/>
        <w:jc w:val="left"/>
        <w:outlineLvl w:val="9"/>
        <w:rPr>
          <w:rFonts w:hint="eastAsia" w:ascii="仿宋_GB2312"/>
          <w:b/>
          <w:sz w:val="28"/>
          <w:szCs w:val="28"/>
          <w:highlight w:val="none"/>
        </w:rPr>
      </w:pPr>
      <w:r>
        <w:rPr>
          <w:rFonts w:hint="eastAsia" w:ascii="仿宋_GB2312"/>
          <w:b/>
          <w:sz w:val="28"/>
          <w:szCs w:val="28"/>
          <w:highlight w:val="none"/>
        </w:rPr>
        <w:t>三、项目主要经验、存在的问题和建议</w:t>
      </w:r>
    </w:p>
    <w:p>
      <w:pPr>
        <w:widowControl/>
        <w:spacing w:line="300" w:lineRule="auto"/>
        <w:ind w:firstLine="540" w:firstLineChars="192"/>
        <w:jc w:val="left"/>
        <w:outlineLvl w:val="9"/>
        <w:rPr>
          <w:rFonts w:ascii="仿宋_GB2312"/>
          <w:b/>
          <w:sz w:val="28"/>
          <w:szCs w:val="28"/>
          <w:highlight w:val="none"/>
        </w:rPr>
      </w:pPr>
      <w:r>
        <w:rPr>
          <w:rFonts w:hint="eastAsia" w:ascii="宋体" w:hAnsi="宋体" w:cs="宋体"/>
          <w:b/>
          <w:bCs/>
          <w:kern w:val="0"/>
          <w:sz w:val="28"/>
          <w:szCs w:val="28"/>
          <w:highlight w:val="none"/>
        </w:rPr>
        <w:t>（一）</w:t>
      </w:r>
      <w:r>
        <w:rPr>
          <w:rFonts w:hint="eastAsia" w:ascii="仿宋_GB2312"/>
          <w:b/>
          <w:sz w:val="28"/>
          <w:szCs w:val="28"/>
          <w:highlight w:val="none"/>
        </w:rPr>
        <w:t>主要经验和做法</w:t>
      </w:r>
    </w:p>
    <w:p>
      <w:pPr>
        <w:widowControl/>
        <w:spacing w:line="300" w:lineRule="auto"/>
        <w:ind w:firstLine="537" w:firstLineChars="192"/>
        <w:jc w:val="left"/>
        <w:rPr>
          <w:rFonts w:ascii="仿宋_GB2312" w:hAnsi="宋体" w:eastAsia="仿宋_GB2312"/>
          <w:sz w:val="28"/>
          <w:szCs w:val="28"/>
          <w:highlight w:val="none"/>
        </w:rPr>
      </w:pPr>
      <w:r>
        <w:rPr>
          <w:rFonts w:hint="eastAsia" w:ascii="仿宋_GB2312" w:hAnsi="宋体" w:eastAsia="仿宋_GB2312"/>
          <w:sz w:val="28"/>
          <w:szCs w:val="28"/>
          <w:highlight w:val="none"/>
        </w:rPr>
        <w:t>一是项目前期准备充分。在申报白沙村采摘园项目前，白沙村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sz w:val="28"/>
          <w:szCs w:val="28"/>
          <w:highlight w:val="none"/>
        </w:rPr>
      </w:pPr>
      <w:r>
        <w:rPr>
          <w:rFonts w:hint="eastAsia" w:ascii="仿宋_GB2312" w:hAnsi="宋体" w:eastAsia="仿宋_GB2312"/>
          <w:sz w:val="28"/>
          <w:szCs w:val="28"/>
          <w:highlight w:val="none"/>
        </w:rPr>
        <w:t>二是临空区财金局高度重视项目绩效管理。对杨叶镇上报的项目绩效进行审核和批复，并按规定进行公示，确保项目绩效设置比较合理、方便考核。</w:t>
      </w:r>
    </w:p>
    <w:p>
      <w:pPr>
        <w:widowControl/>
        <w:spacing w:line="300" w:lineRule="auto"/>
        <w:ind w:firstLine="537" w:firstLineChars="192"/>
        <w:jc w:val="left"/>
        <w:rPr>
          <w:rFonts w:ascii="仿宋_GB2312" w:hAnsi="宋体" w:eastAsia="仿宋_GB2312"/>
          <w:sz w:val="28"/>
          <w:szCs w:val="28"/>
          <w:highlight w:val="none"/>
        </w:rPr>
      </w:pPr>
      <w:r>
        <w:rPr>
          <w:rFonts w:hint="eastAsia" w:ascii="仿宋_GB2312" w:hAnsi="宋体" w:eastAsia="仿宋_GB2312"/>
          <w:sz w:val="28"/>
          <w:szCs w:val="28"/>
          <w:highlight w:val="none"/>
        </w:rPr>
        <w:t>三是项目单位按照《实施方案》的要求，规范实施程序。白沙村采摘园项目得到区级批复后，白沙村立即启动项目</w:t>
      </w:r>
      <w:r>
        <w:rPr>
          <w:rFonts w:hint="eastAsia" w:ascii="仿宋_GB2312" w:hAnsi="宋体" w:eastAsia="仿宋_GB2312"/>
          <w:sz w:val="28"/>
          <w:szCs w:val="28"/>
          <w:highlight w:val="none"/>
          <w:lang w:val="en-US" w:eastAsia="zh-CN"/>
        </w:rPr>
        <w:t>建设</w:t>
      </w:r>
      <w:r>
        <w:rPr>
          <w:rFonts w:hint="eastAsia" w:ascii="仿宋_GB2312" w:hAnsi="宋体" w:eastAsia="仿宋_GB2312"/>
          <w:sz w:val="28"/>
          <w:szCs w:val="28"/>
          <w:highlight w:val="none"/>
        </w:rPr>
        <w:t>，选择施工队伍</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组织实施</w:t>
      </w:r>
      <w:r>
        <w:rPr>
          <w:rFonts w:hint="eastAsia" w:ascii="仿宋_GB2312" w:hAnsi="宋体" w:eastAsia="仿宋_GB2312"/>
          <w:sz w:val="28"/>
          <w:szCs w:val="28"/>
          <w:highlight w:val="none"/>
        </w:rPr>
        <w:t>。</w:t>
      </w:r>
    </w:p>
    <w:p>
      <w:pPr>
        <w:widowControl/>
        <w:spacing w:line="300" w:lineRule="auto"/>
        <w:ind w:firstLine="537" w:firstLineChars="192"/>
        <w:jc w:val="left"/>
        <w:rPr>
          <w:rFonts w:ascii="仿宋_GB2312" w:hAnsi="宋体" w:eastAsia="仿宋_GB2312"/>
          <w:sz w:val="28"/>
          <w:szCs w:val="28"/>
          <w:highlight w:val="none"/>
        </w:rPr>
      </w:pPr>
      <w:r>
        <w:rPr>
          <w:rFonts w:hint="eastAsia" w:ascii="仿宋_GB2312" w:hAnsi="宋体" w:eastAsia="仿宋_GB2312"/>
          <w:sz w:val="28"/>
          <w:szCs w:val="28"/>
          <w:highlight w:val="none"/>
        </w:rPr>
        <w:t>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outlineLvl w:val="9"/>
        <w:rPr>
          <w:rFonts w:ascii="宋体" w:hAnsi="宋体" w:cs="宋体"/>
          <w:b/>
          <w:bCs/>
          <w:kern w:val="0"/>
          <w:sz w:val="28"/>
          <w:szCs w:val="28"/>
          <w:highlight w:val="none"/>
        </w:rPr>
      </w:pPr>
      <w:r>
        <w:rPr>
          <w:rFonts w:hint="eastAsia" w:ascii="仿宋_GB2312"/>
          <w:b/>
          <w:sz w:val="28"/>
          <w:szCs w:val="28"/>
          <w:highlight w:val="none"/>
        </w:rPr>
        <w:t>（二）</w:t>
      </w:r>
      <w:r>
        <w:rPr>
          <w:rFonts w:hint="eastAsia" w:ascii="宋体" w:hAnsi="宋体" w:cs="宋体"/>
          <w:b/>
          <w:bCs/>
          <w:kern w:val="0"/>
          <w:sz w:val="28"/>
          <w:szCs w:val="28"/>
          <w:highlight w:val="none"/>
        </w:rPr>
        <w:t>存在的主要问题</w:t>
      </w:r>
    </w:p>
    <w:p>
      <w:pPr>
        <w:widowControl/>
        <w:spacing w:line="300" w:lineRule="auto"/>
        <w:ind w:firstLine="537" w:firstLineChars="192"/>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1、工程投资控制不严。该项目，申报投资268万元，而实际完成投资272.47万元，超申报投资4.47万元，超支率1.67%。可能会增加村集体经济负担。</w:t>
      </w:r>
    </w:p>
    <w:p>
      <w:pPr>
        <w:widowControl/>
        <w:spacing w:line="300" w:lineRule="auto"/>
        <w:ind w:firstLine="537" w:firstLineChars="192"/>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2、项目承包金收缴不及时。经查：</w:t>
      </w:r>
      <w:r>
        <w:rPr>
          <w:rFonts w:hint="eastAsia" w:ascii="仿宋_GB2312" w:hAnsi="宋体" w:eastAsia="仿宋_GB2312"/>
          <w:sz w:val="28"/>
          <w:szCs w:val="28"/>
          <w:highlight w:val="none"/>
        </w:rPr>
        <w:t>项目建成后，交由鄂州市开头地草莓种植农民专业合作社承包经营。2023年8月23日，白沙村与鄂州市开头地草莓种植农民专业合作社签订《衔接资金项目资产入股分红协议书》“三、分红金额及付款方式”约定：乙方每年向甲方缴纳保底分红8.25万元（亩均1500元），第一年在签订本协议之日起10日内一次性付至甲方指定账户；第二年在2024年9月1日前缴纳。经调查：截止2023年11月30日，仍未收到分红款。</w:t>
      </w:r>
      <w:r>
        <w:rPr>
          <w:rFonts w:hint="eastAsia" w:ascii="仿宋_GB2312" w:hAnsi="宋体" w:eastAsia="仿宋_GB2312"/>
          <w:sz w:val="28"/>
          <w:szCs w:val="28"/>
          <w:highlight w:val="none"/>
          <w:lang w:val="en-US" w:eastAsia="zh-CN"/>
        </w:rPr>
        <w:t>上述问题已经整改，村已于2023年12月6日收回分红资金</w:t>
      </w:r>
      <w:r>
        <w:rPr>
          <w:rFonts w:hint="eastAsia" w:ascii="仿宋_GB2312" w:hAnsi="宋体" w:eastAsia="仿宋_GB2312"/>
          <w:sz w:val="28"/>
          <w:szCs w:val="28"/>
          <w:highlight w:val="none"/>
        </w:rPr>
        <w:t>8.25万元</w:t>
      </w:r>
      <w:r>
        <w:rPr>
          <w:rFonts w:hint="eastAsia" w:ascii="仿宋_GB2312" w:hAnsi="宋体" w:eastAsia="仿宋_GB2312"/>
          <w:sz w:val="28"/>
          <w:szCs w:val="28"/>
          <w:highlight w:val="none"/>
          <w:lang w:eastAsia="zh-CN"/>
        </w:rPr>
        <w:t>。</w:t>
      </w:r>
    </w:p>
    <w:p>
      <w:pPr>
        <w:widowControl/>
        <w:spacing w:line="300" w:lineRule="auto"/>
        <w:ind w:firstLine="562" w:firstLineChars="200"/>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（三）建议及改进措施</w:t>
      </w:r>
    </w:p>
    <w:p>
      <w:pPr>
        <w:widowControl/>
        <w:spacing w:line="300" w:lineRule="auto"/>
        <w:ind w:firstLine="560" w:firstLineChars="200"/>
        <w:jc w:val="left"/>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val="en-US" w:eastAsia="zh-CN"/>
        </w:rPr>
        <w:t>严格控制项目投资。项目申报前，必须做好投资的测算工作。投资额度确定后，就必须严格控制投资规模，避免超额投资给村集体带来经济负担。</w:t>
      </w:r>
    </w:p>
    <w:p>
      <w:pPr>
        <w:widowControl/>
        <w:spacing w:line="300" w:lineRule="auto"/>
        <w:ind w:firstLine="560" w:firstLineChars="200"/>
        <w:jc w:val="left"/>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2、及时</w:t>
      </w:r>
      <w:r>
        <w:rPr>
          <w:rFonts w:hint="eastAsia" w:ascii="仿宋_GB2312" w:hAnsi="宋体" w:eastAsia="仿宋_GB2312"/>
          <w:sz w:val="28"/>
          <w:szCs w:val="28"/>
          <w:highlight w:val="none"/>
        </w:rPr>
        <w:t>收回保底分红资金，提高资金效益。白沙村应按合同约定的时间和金额，迅速收回保底分红资金，盘活资金存量，提高资金使用效益。</w:t>
      </w:r>
      <w:r>
        <w:rPr>
          <w:rFonts w:hint="eastAsia" w:ascii="仿宋_GB2312" w:hAnsi="宋体" w:eastAsia="仿宋_GB2312"/>
          <w:sz w:val="28"/>
          <w:szCs w:val="28"/>
          <w:highlight w:val="none"/>
          <w:lang w:val="en-US" w:eastAsia="zh-CN"/>
        </w:rPr>
        <w:t>注：已于2023年12月6日收回。</w:t>
      </w:r>
    </w:p>
    <w:p>
      <w:pPr>
        <w:widowControl/>
        <w:spacing w:line="300" w:lineRule="auto"/>
        <w:ind w:firstLine="537" w:firstLineChars="192"/>
        <w:jc w:val="left"/>
        <w:rPr>
          <w:rFonts w:ascii="仿宋_GB2312" w:hAnsi="宋体" w:eastAsia="仿宋_GB2312"/>
          <w:sz w:val="28"/>
          <w:szCs w:val="28"/>
          <w:highlight w:val="none"/>
        </w:rPr>
      </w:pPr>
    </w:p>
    <w:p>
      <w:pPr>
        <w:widowControl/>
        <w:spacing w:line="300" w:lineRule="auto"/>
        <w:ind w:firstLine="537" w:firstLineChars="192"/>
        <w:jc w:val="left"/>
        <w:rPr>
          <w:rFonts w:ascii="仿宋_GB2312" w:hAnsi="宋体" w:eastAsia="仿宋_GB2312"/>
          <w:sz w:val="28"/>
          <w:szCs w:val="28"/>
          <w:highlight w:val="none"/>
        </w:rPr>
      </w:pPr>
    </w:p>
    <w:p>
      <w:pPr>
        <w:widowControl/>
        <w:spacing w:line="300" w:lineRule="auto"/>
        <w:ind w:firstLine="537" w:firstLineChars="192"/>
        <w:jc w:val="left"/>
        <w:rPr>
          <w:rFonts w:ascii="仿宋_GB2312" w:hAnsi="宋体" w:eastAsia="仿宋_GB2312"/>
          <w:sz w:val="28"/>
          <w:szCs w:val="28"/>
          <w:highlight w:val="none"/>
        </w:rPr>
      </w:pPr>
    </w:p>
    <w:p>
      <w:pPr>
        <w:spacing w:line="300" w:lineRule="auto"/>
        <w:jc w:val="both"/>
        <w:rPr>
          <w:rFonts w:hint="eastAsia" w:ascii="ˎ̥" w:hAnsi="ˎ̥"/>
          <w:b/>
          <w:sz w:val="36"/>
          <w:szCs w:val="36"/>
          <w:highlight w:val="none"/>
        </w:rPr>
      </w:pPr>
    </w:p>
    <w:p>
      <w:pPr>
        <w:widowControl/>
        <w:spacing w:line="300" w:lineRule="auto"/>
        <w:ind w:firstLine="2520" w:firstLineChars="900"/>
        <w:jc w:val="left"/>
        <w:rPr>
          <w:rFonts w:hint="eastAsia"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湖北众信会计师事务有限公司</w:t>
      </w:r>
    </w:p>
    <w:p>
      <w:pPr>
        <w:spacing w:line="300" w:lineRule="auto"/>
        <w:jc w:val="center"/>
        <w:rPr>
          <w:rFonts w:hint="eastAsia" w:ascii="ˎ̥" w:hAnsi="ˎ̥"/>
          <w:b/>
          <w:sz w:val="36"/>
          <w:szCs w:val="36"/>
          <w:highlight w:val="none"/>
        </w:rPr>
      </w:pPr>
      <w:r>
        <w:rPr>
          <w:rFonts w:hint="eastAsia" w:ascii="仿宋_GB2312" w:hAnsi="宋体" w:eastAsia="仿宋_GB2312" w:cs="Times New Roman"/>
          <w:sz w:val="28"/>
          <w:szCs w:val="28"/>
          <w:highlight w:val="none"/>
          <w:lang w:val="en-US" w:eastAsia="zh-CN"/>
        </w:rPr>
        <w:t>2023年12月31日</w:t>
      </w: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jc w:val="center"/>
        <w:rPr>
          <w:rFonts w:hint="eastAsia" w:ascii="ˎ̥" w:hAnsi="ˎ̥"/>
          <w:b/>
          <w:sz w:val="36"/>
          <w:szCs w:val="36"/>
          <w:highlight w:val="none"/>
        </w:rPr>
      </w:pPr>
    </w:p>
    <w:p>
      <w:pPr>
        <w:spacing w:line="300" w:lineRule="auto"/>
        <w:ind w:firstLine="361" w:firstLineChars="100"/>
        <w:jc w:val="both"/>
        <w:rPr>
          <w:rFonts w:hint="eastAsia" w:ascii="ˎ̥" w:hAnsi="ˎ̥"/>
          <w:b/>
          <w:sz w:val="36"/>
          <w:szCs w:val="36"/>
          <w:highlight w:val="none"/>
        </w:rPr>
      </w:pPr>
    </w:p>
    <w:p>
      <w:pPr>
        <w:widowControl/>
        <w:spacing w:line="300" w:lineRule="auto"/>
        <w:jc w:val="left"/>
        <w:rPr>
          <w:rFonts w:hint="default" w:ascii="仿宋_GB2312" w:hAnsi="宋体" w:eastAsia="仿宋_GB2312" w:cs="Times New Roman"/>
          <w:sz w:val="28"/>
          <w:szCs w:val="28"/>
          <w:highlight w:val="none"/>
          <w:lang w:val="en-US" w:eastAsia="zh-CN"/>
        </w:rPr>
      </w:pPr>
    </w:p>
    <w:sectPr>
      <w:headerReference r:id="rId8" w:type="first"/>
      <w:footerReference r:id="rId10" w:type="first"/>
      <w:headerReference r:id="rId7" w:type="default"/>
      <w:footerReference r:id="rId9"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pt" dashstyle="dash"/>
          <v:imagedata o:title=""/>
          <o:lock v:ext="edit" aspectratio="f"/>
          <v:textbox inset="0mm,0mm,0mm,0mm" style="mso-fit-shape-to-text:t;">
            <w:txbxContent>
              <w:p>
                <w:pPr>
                  <w:pStyle w:val="6"/>
                </w:pPr>
                <w:r>
                  <w:fldChar w:fldCharType="begin"/>
                </w:r>
                <w:r>
                  <w:instrText xml:space="preserve"> PAGE  \* MERGEFORMAT </w:instrText>
                </w:r>
                <w:r>
                  <w:fldChar w:fldCharType="separate"/>
                </w:r>
                <w:r>
                  <w:t>4</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4140" w:firstLineChars="2300"/>
    </w:pPr>
    <w:r>
      <w:rPr>
        <w:rFonts w:hint="eastAsia"/>
        <w:lang w:val="en-US" w:eastAsia="zh-CN"/>
      </w:rPr>
      <w:t>赵寨</w:t>
    </w:r>
    <w:r>
      <w:rPr>
        <w:rFonts w:hint="eastAsia"/>
      </w:rPr>
      <w:t>村红道驿站项目乡村振兴衔接资金绩效评价报告</w:t>
    </w:r>
  </w:p>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4140" w:firstLineChars="2300"/>
    </w:pPr>
  </w:p>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4140" w:firstLineChars="2300"/>
    </w:pPr>
    <w:r>
      <w:rPr>
        <w:rFonts w:hint="eastAsia"/>
        <w:lang w:val="en-US" w:eastAsia="zh-CN"/>
      </w:rPr>
      <w:t>赵寨</w:t>
    </w:r>
    <w:r>
      <w:rPr>
        <w:rFonts w:hint="eastAsia"/>
      </w:rPr>
      <w:t>村红道驿站项目</w:t>
    </w:r>
    <w:r>
      <w:rPr>
        <w:rFonts w:hint="eastAsia"/>
        <w:lang w:val="en-US" w:eastAsia="zh-CN"/>
      </w:rPr>
      <w:t>财政</w:t>
    </w:r>
    <w:r>
      <w:rPr>
        <w:rFonts w:hint="eastAsia"/>
      </w:rPr>
      <w:t>衔接资金绩效评价报告</w:t>
    </w:r>
  </w:p>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lang w:val="en-US" w:eastAsia="zh-CN"/>
      </w:rPr>
      <w:t xml:space="preserve">                                                  </w:t>
    </w:r>
    <w:bookmarkStart w:id="4" w:name="_GoBack"/>
    <w:bookmarkEnd w:id="4"/>
    <w:r>
      <w:rPr>
        <w:rFonts w:hint="eastAsia"/>
        <w:lang w:val="en-US" w:eastAsia="zh-CN"/>
      </w:rPr>
      <w:t xml:space="preserve"> 杨叶镇古塘村、白沙村休闲观光采摘园示范项目财政衔接资金绩效评价报告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compatSetting w:name="compatibilityMode" w:uri="http://schemas.microsoft.com/office/word" w:val="12"/>
  </w:compat>
  <w:docVars>
    <w:docVar w:name="commondata" w:val="eyJoZGlkIjoiOGU2NzM1MTAwZWRiNWI4Njk2YWVhNDM3Yjc2MjIwNmUifQ=="/>
  </w:docVars>
  <w:rsids>
    <w:rsidRoot w:val="00014752"/>
    <w:rsid w:val="00014752"/>
    <w:rsid w:val="00016D97"/>
    <w:rsid w:val="00031EE6"/>
    <w:rsid w:val="00080A63"/>
    <w:rsid w:val="00082427"/>
    <w:rsid w:val="000C5BE1"/>
    <w:rsid w:val="000D08BB"/>
    <w:rsid w:val="00100D5F"/>
    <w:rsid w:val="00121573"/>
    <w:rsid w:val="00171C96"/>
    <w:rsid w:val="0018029F"/>
    <w:rsid w:val="00182EA3"/>
    <w:rsid w:val="00184C27"/>
    <w:rsid w:val="00186BF0"/>
    <w:rsid w:val="0019475E"/>
    <w:rsid w:val="00194FA8"/>
    <w:rsid w:val="001A1EFD"/>
    <w:rsid w:val="001D16DD"/>
    <w:rsid w:val="001E02BD"/>
    <w:rsid w:val="00210921"/>
    <w:rsid w:val="002155C5"/>
    <w:rsid w:val="00227F14"/>
    <w:rsid w:val="002513D9"/>
    <w:rsid w:val="00254578"/>
    <w:rsid w:val="00262AD4"/>
    <w:rsid w:val="002865D4"/>
    <w:rsid w:val="00290209"/>
    <w:rsid w:val="00297E6D"/>
    <w:rsid w:val="002A1F5A"/>
    <w:rsid w:val="002A7BB3"/>
    <w:rsid w:val="002B0457"/>
    <w:rsid w:val="002C5730"/>
    <w:rsid w:val="002C63EC"/>
    <w:rsid w:val="002D475E"/>
    <w:rsid w:val="002F227B"/>
    <w:rsid w:val="002F2B67"/>
    <w:rsid w:val="002F79EB"/>
    <w:rsid w:val="00300B45"/>
    <w:rsid w:val="00302502"/>
    <w:rsid w:val="00335BFC"/>
    <w:rsid w:val="00344AA2"/>
    <w:rsid w:val="00375EF4"/>
    <w:rsid w:val="003A0B70"/>
    <w:rsid w:val="003A2041"/>
    <w:rsid w:val="003F69E2"/>
    <w:rsid w:val="00402307"/>
    <w:rsid w:val="0040632F"/>
    <w:rsid w:val="00420C2C"/>
    <w:rsid w:val="004255E0"/>
    <w:rsid w:val="00452E84"/>
    <w:rsid w:val="004B2EBE"/>
    <w:rsid w:val="004C00BC"/>
    <w:rsid w:val="004D3D3A"/>
    <w:rsid w:val="004F2C95"/>
    <w:rsid w:val="004F7C70"/>
    <w:rsid w:val="00506AEA"/>
    <w:rsid w:val="005170DA"/>
    <w:rsid w:val="00565020"/>
    <w:rsid w:val="005A4DF4"/>
    <w:rsid w:val="005A6E50"/>
    <w:rsid w:val="005B2DE4"/>
    <w:rsid w:val="005C15F0"/>
    <w:rsid w:val="00602F1E"/>
    <w:rsid w:val="006343E5"/>
    <w:rsid w:val="006371C0"/>
    <w:rsid w:val="00642092"/>
    <w:rsid w:val="00643A8E"/>
    <w:rsid w:val="00644799"/>
    <w:rsid w:val="00662755"/>
    <w:rsid w:val="006B3777"/>
    <w:rsid w:val="006C1FC1"/>
    <w:rsid w:val="006C5FA5"/>
    <w:rsid w:val="007110A6"/>
    <w:rsid w:val="00733ED9"/>
    <w:rsid w:val="00760AD3"/>
    <w:rsid w:val="0076540B"/>
    <w:rsid w:val="0077637D"/>
    <w:rsid w:val="00783BDF"/>
    <w:rsid w:val="007A4E76"/>
    <w:rsid w:val="007B30A1"/>
    <w:rsid w:val="007F0FDC"/>
    <w:rsid w:val="007F26DA"/>
    <w:rsid w:val="00816053"/>
    <w:rsid w:val="008416BC"/>
    <w:rsid w:val="0085024E"/>
    <w:rsid w:val="008B0052"/>
    <w:rsid w:val="008E5ACA"/>
    <w:rsid w:val="00904FCB"/>
    <w:rsid w:val="00922A8C"/>
    <w:rsid w:val="009306C5"/>
    <w:rsid w:val="009C7323"/>
    <w:rsid w:val="00A00AE2"/>
    <w:rsid w:val="00A819FF"/>
    <w:rsid w:val="00AB7007"/>
    <w:rsid w:val="00AE00EC"/>
    <w:rsid w:val="00AF1156"/>
    <w:rsid w:val="00B05F62"/>
    <w:rsid w:val="00B05FFB"/>
    <w:rsid w:val="00B24804"/>
    <w:rsid w:val="00B32D9E"/>
    <w:rsid w:val="00B344FA"/>
    <w:rsid w:val="00B42B5A"/>
    <w:rsid w:val="00B84B1A"/>
    <w:rsid w:val="00BA4BFE"/>
    <w:rsid w:val="00BA5B28"/>
    <w:rsid w:val="00BA67B1"/>
    <w:rsid w:val="00BE268B"/>
    <w:rsid w:val="00C017F0"/>
    <w:rsid w:val="00C03080"/>
    <w:rsid w:val="00C05A79"/>
    <w:rsid w:val="00C4139B"/>
    <w:rsid w:val="00C53128"/>
    <w:rsid w:val="00C8587F"/>
    <w:rsid w:val="00C86296"/>
    <w:rsid w:val="00CA70F7"/>
    <w:rsid w:val="00CC3AB0"/>
    <w:rsid w:val="00CC4D52"/>
    <w:rsid w:val="00D0046A"/>
    <w:rsid w:val="00D375F9"/>
    <w:rsid w:val="00D51877"/>
    <w:rsid w:val="00D559D9"/>
    <w:rsid w:val="00D77892"/>
    <w:rsid w:val="00D9696B"/>
    <w:rsid w:val="00DB54FB"/>
    <w:rsid w:val="00DC5853"/>
    <w:rsid w:val="00DC69DC"/>
    <w:rsid w:val="00E0708D"/>
    <w:rsid w:val="00E12FF8"/>
    <w:rsid w:val="00E52B69"/>
    <w:rsid w:val="00E53923"/>
    <w:rsid w:val="00E54672"/>
    <w:rsid w:val="00E61A8C"/>
    <w:rsid w:val="00E633BF"/>
    <w:rsid w:val="00E70C90"/>
    <w:rsid w:val="00E91B77"/>
    <w:rsid w:val="00F16077"/>
    <w:rsid w:val="00F1694B"/>
    <w:rsid w:val="00F82223"/>
    <w:rsid w:val="00FB32DE"/>
    <w:rsid w:val="00FD04AE"/>
    <w:rsid w:val="00FD2DFB"/>
    <w:rsid w:val="01C62B03"/>
    <w:rsid w:val="040A684F"/>
    <w:rsid w:val="04FD0162"/>
    <w:rsid w:val="064047AA"/>
    <w:rsid w:val="075E313A"/>
    <w:rsid w:val="093E3425"/>
    <w:rsid w:val="0A5B1BB3"/>
    <w:rsid w:val="0B180F11"/>
    <w:rsid w:val="0B6B0488"/>
    <w:rsid w:val="0F207E9C"/>
    <w:rsid w:val="11691059"/>
    <w:rsid w:val="136441CE"/>
    <w:rsid w:val="15BA3603"/>
    <w:rsid w:val="164F4F63"/>
    <w:rsid w:val="173C43E6"/>
    <w:rsid w:val="177249E0"/>
    <w:rsid w:val="19132E33"/>
    <w:rsid w:val="1941466A"/>
    <w:rsid w:val="1A5B5AA8"/>
    <w:rsid w:val="1A8C5DB8"/>
    <w:rsid w:val="1AEC6857"/>
    <w:rsid w:val="1DC36CE7"/>
    <w:rsid w:val="1DCA1CC3"/>
    <w:rsid w:val="1DDB508D"/>
    <w:rsid w:val="21C146F9"/>
    <w:rsid w:val="229310A7"/>
    <w:rsid w:val="22A16179"/>
    <w:rsid w:val="22B8599C"/>
    <w:rsid w:val="23680CB9"/>
    <w:rsid w:val="23FC7B0B"/>
    <w:rsid w:val="25A42208"/>
    <w:rsid w:val="25B3069D"/>
    <w:rsid w:val="26445799"/>
    <w:rsid w:val="27E15995"/>
    <w:rsid w:val="2916166F"/>
    <w:rsid w:val="29253660"/>
    <w:rsid w:val="29373393"/>
    <w:rsid w:val="298760C9"/>
    <w:rsid w:val="2ABE5B1A"/>
    <w:rsid w:val="2AEA4B61"/>
    <w:rsid w:val="2C701096"/>
    <w:rsid w:val="2CBC42DB"/>
    <w:rsid w:val="2FA6092B"/>
    <w:rsid w:val="30C31FCB"/>
    <w:rsid w:val="30D00355"/>
    <w:rsid w:val="30FB64B8"/>
    <w:rsid w:val="31A67308"/>
    <w:rsid w:val="31C61758"/>
    <w:rsid w:val="31E57E30"/>
    <w:rsid w:val="320B31A3"/>
    <w:rsid w:val="320F1351"/>
    <w:rsid w:val="33D53ED4"/>
    <w:rsid w:val="34DB551B"/>
    <w:rsid w:val="35D8451E"/>
    <w:rsid w:val="36176754"/>
    <w:rsid w:val="36853990"/>
    <w:rsid w:val="373F16B2"/>
    <w:rsid w:val="38B642D4"/>
    <w:rsid w:val="397D4DF2"/>
    <w:rsid w:val="39B94523"/>
    <w:rsid w:val="3A267238"/>
    <w:rsid w:val="3B757D3E"/>
    <w:rsid w:val="3B8F0552"/>
    <w:rsid w:val="3E77443A"/>
    <w:rsid w:val="3FC76DC7"/>
    <w:rsid w:val="413A14B0"/>
    <w:rsid w:val="42BF647C"/>
    <w:rsid w:val="44093E52"/>
    <w:rsid w:val="44114AB5"/>
    <w:rsid w:val="45230F44"/>
    <w:rsid w:val="45991206"/>
    <w:rsid w:val="45B87FE0"/>
    <w:rsid w:val="45F66658"/>
    <w:rsid w:val="4622744D"/>
    <w:rsid w:val="46717A8D"/>
    <w:rsid w:val="47946129"/>
    <w:rsid w:val="47A619B8"/>
    <w:rsid w:val="490D3A34"/>
    <w:rsid w:val="49D4280C"/>
    <w:rsid w:val="4A51724E"/>
    <w:rsid w:val="4AAE362A"/>
    <w:rsid w:val="4B1155A0"/>
    <w:rsid w:val="4B810AF4"/>
    <w:rsid w:val="4C0C3418"/>
    <w:rsid w:val="4CAF6494"/>
    <w:rsid w:val="4E30647F"/>
    <w:rsid w:val="4EF23735"/>
    <w:rsid w:val="52AD009F"/>
    <w:rsid w:val="52CC6B7E"/>
    <w:rsid w:val="54234A5D"/>
    <w:rsid w:val="58F96AAD"/>
    <w:rsid w:val="5A453FF6"/>
    <w:rsid w:val="5A7476F4"/>
    <w:rsid w:val="5B293E2E"/>
    <w:rsid w:val="5B3F5F54"/>
    <w:rsid w:val="5B5446D0"/>
    <w:rsid w:val="5C0D7E00"/>
    <w:rsid w:val="5CCA52AE"/>
    <w:rsid w:val="5EB033F0"/>
    <w:rsid w:val="61911C66"/>
    <w:rsid w:val="630A6E47"/>
    <w:rsid w:val="635C3B47"/>
    <w:rsid w:val="64ED07CF"/>
    <w:rsid w:val="65DA2054"/>
    <w:rsid w:val="669E4B41"/>
    <w:rsid w:val="670D5158"/>
    <w:rsid w:val="671169F6"/>
    <w:rsid w:val="6908207B"/>
    <w:rsid w:val="6A7554EE"/>
    <w:rsid w:val="6B7B2DAD"/>
    <w:rsid w:val="6D30394E"/>
    <w:rsid w:val="6EB51C4F"/>
    <w:rsid w:val="6FF22403"/>
    <w:rsid w:val="705B5186"/>
    <w:rsid w:val="71C91967"/>
    <w:rsid w:val="742F4960"/>
    <w:rsid w:val="74956EB9"/>
    <w:rsid w:val="754E0E15"/>
    <w:rsid w:val="75622B13"/>
    <w:rsid w:val="76370D1A"/>
    <w:rsid w:val="77DC61EA"/>
    <w:rsid w:val="78E0447A"/>
    <w:rsid w:val="78E21FA1"/>
    <w:rsid w:val="7B8B574F"/>
    <w:rsid w:val="7FB34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link w:val="15"/>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12"/>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5">
    <w:name w:val="Date"/>
    <w:basedOn w:val="1"/>
    <w:next w:val="1"/>
    <w:link w:val="13"/>
    <w:autoRedefine/>
    <w:semiHidden/>
    <w:unhideWhenUsed/>
    <w:qFormat/>
    <w:uiPriority w:val="99"/>
    <w:pPr>
      <w:ind w:left="100" w:leftChars="2500"/>
    </w:pPr>
  </w:style>
  <w:style w:type="paragraph" w:styleId="6">
    <w:name w:val="footer"/>
    <w:basedOn w:val="1"/>
    <w:link w:val="18"/>
    <w:autoRedefine/>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unhideWhenUsed/>
    <w:qFormat/>
    <w:uiPriority w:val="99"/>
    <w:pPr>
      <w:tabs>
        <w:tab w:val="center" w:pos="4153"/>
        <w:tab w:val="right" w:pos="8306"/>
      </w:tabs>
      <w:snapToGrid w:val="0"/>
      <w:jc w:val="center"/>
    </w:pPr>
    <w:rPr>
      <w:sz w:val="18"/>
      <w:szCs w:val="18"/>
    </w:rPr>
  </w:style>
  <w:style w:type="paragraph" w:styleId="8">
    <w:name w:val="toc 1"/>
    <w:basedOn w:val="1"/>
    <w:next w:val="1"/>
    <w:autoRedefine/>
    <w:semiHidden/>
    <w:unhideWhenUsed/>
    <w:qFormat/>
    <w:uiPriority w:val="39"/>
  </w:style>
  <w:style w:type="paragraph" w:styleId="9">
    <w:name w:val="toc 2"/>
    <w:basedOn w:val="1"/>
    <w:next w:val="1"/>
    <w:autoRedefine/>
    <w:semiHidden/>
    <w:unhideWhenUsed/>
    <w:qFormat/>
    <w:uiPriority w:val="39"/>
    <w:pPr>
      <w:ind w:left="420" w:leftChars="200"/>
    </w:pPr>
  </w:style>
  <w:style w:type="character" w:customStyle="1" w:styleId="12">
    <w:name w:val="标题 字符"/>
    <w:basedOn w:val="11"/>
    <w:link w:val="2"/>
    <w:autoRedefine/>
    <w:qFormat/>
    <w:uiPriority w:val="10"/>
    <w:rPr>
      <w:rFonts w:asciiTheme="majorHAnsi" w:hAnsiTheme="majorHAnsi" w:eastAsiaTheme="majorEastAsia" w:cstheme="majorBidi"/>
      <w:b/>
      <w:bCs/>
      <w:sz w:val="32"/>
      <w:szCs w:val="32"/>
      <w14:ligatures w14:val="none"/>
    </w:rPr>
  </w:style>
  <w:style w:type="character" w:customStyle="1" w:styleId="13">
    <w:name w:val="日期 字符"/>
    <w:basedOn w:val="11"/>
    <w:link w:val="5"/>
    <w:autoRedefine/>
    <w:semiHidden/>
    <w:qFormat/>
    <w:uiPriority w:val="99"/>
    <w:rPr>
      <w:rFonts w:ascii="Times New Roman" w:hAnsi="Times New Roman" w:eastAsia="宋体" w:cs="Times New Roman"/>
      <w:szCs w:val="24"/>
      <w14:ligatures w14:val="none"/>
    </w:rPr>
  </w:style>
  <w:style w:type="character" w:customStyle="1" w:styleId="14">
    <w:name w:val="标题 1 字符"/>
    <w:basedOn w:val="11"/>
    <w:link w:val="3"/>
    <w:autoRedefine/>
    <w:qFormat/>
    <w:uiPriority w:val="0"/>
    <w:rPr>
      <w:rFonts w:ascii="Calibri" w:hAnsi="Calibri" w:eastAsia="宋体" w:cs="Times New Roman"/>
      <w:b/>
      <w:bCs/>
      <w:kern w:val="44"/>
      <w:sz w:val="44"/>
      <w:szCs w:val="44"/>
      <w14:ligatures w14:val="none"/>
    </w:rPr>
  </w:style>
  <w:style w:type="character" w:customStyle="1" w:styleId="15">
    <w:name w:val="标题 2 字符"/>
    <w:basedOn w:val="11"/>
    <w:link w:val="4"/>
    <w:autoRedefine/>
    <w:semiHidden/>
    <w:qFormat/>
    <w:uiPriority w:val="9"/>
    <w:rPr>
      <w:rFonts w:asciiTheme="majorHAnsi" w:hAnsiTheme="majorHAnsi" w:eastAsiaTheme="majorEastAsia" w:cstheme="majorBidi"/>
      <w:b/>
      <w:bCs/>
      <w:sz w:val="32"/>
      <w:szCs w:val="32"/>
      <w14:ligatures w14:val="none"/>
    </w:rPr>
  </w:style>
  <w:style w:type="paragraph" w:styleId="16">
    <w:name w:val="List Paragraph"/>
    <w:basedOn w:val="1"/>
    <w:autoRedefine/>
    <w:qFormat/>
    <w:uiPriority w:val="34"/>
    <w:pPr>
      <w:ind w:firstLine="420" w:firstLineChars="200"/>
    </w:pPr>
  </w:style>
  <w:style w:type="character" w:customStyle="1" w:styleId="17">
    <w:name w:val="页眉 字符"/>
    <w:basedOn w:val="11"/>
    <w:link w:val="7"/>
    <w:autoRedefine/>
    <w:qFormat/>
    <w:uiPriority w:val="99"/>
    <w:rPr>
      <w:rFonts w:ascii="Times New Roman" w:hAnsi="Times New Roman" w:eastAsia="宋体" w:cs="Times New Roman"/>
      <w:sz w:val="18"/>
      <w:szCs w:val="18"/>
      <w14:ligatures w14:val="none"/>
    </w:rPr>
  </w:style>
  <w:style w:type="character" w:customStyle="1" w:styleId="18">
    <w:name w:val="页脚 字符"/>
    <w:basedOn w:val="11"/>
    <w:link w:val="6"/>
    <w:autoRedefine/>
    <w:qFormat/>
    <w:uiPriority w:val="99"/>
    <w:rPr>
      <w:rFonts w:ascii="Times New Roman" w:hAnsi="Times New Roman" w:eastAsia="宋体" w:cs="Times New Roman"/>
      <w:sz w:val="18"/>
      <w:szCs w:val="18"/>
      <w14:ligatures w14:val="none"/>
    </w:rPr>
  </w:style>
  <w:style w:type="character" w:customStyle="1" w:styleId="19">
    <w:name w:val="font71"/>
    <w:basedOn w:val="11"/>
    <w:autoRedefine/>
    <w:qFormat/>
    <w:uiPriority w:val="0"/>
    <w:rPr>
      <w:rFonts w:ascii="Arial" w:hAnsi="Arial" w:cs="Arial"/>
      <w:color w:val="000000"/>
      <w:sz w:val="20"/>
      <w:szCs w:val="20"/>
      <w:u w:val="none"/>
    </w:rPr>
  </w:style>
  <w:style w:type="character" w:customStyle="1" w:styleId="20">
    <w:name w:val="font11"/>
    <w:basedOn w:val="11"/>
    <w:autoRedefine/>
    <w:qFormat/>
    <w:uiPriority w:val="0"/>
    <w:rPr>
      <w:rFonts w:hint="eastAsia" w:ascii="宋体" w:hAnsi="宋体" w:eastAsia="宋体" w:cs="宋体"/>
      <w:color w:val="000000"/>
      <w:sz w:val="20"/>
      <w:szCs w:val="20"/>
      <w:u w:val="none"/>
    </w:rPr>
  </w:style>
  <w:style w:type="paragraph" w:customStyle="1" w:styleId="21">
    <w:name w:val="WPSOffice手动目录 1"/>
    <w:autoRedefine/>
    <w:qFormat/>
    <w:uiPriority w:val="0"/>
    <w:pPr>
      <w:ind w:leftChars="0"/>
    </w:pPr>
    <w:rPr>
      <w:rFonts w:ascii="Times New Roman" w:hAnsi="Times New Roman" w:eastAsia="宋体" w:cs="Times New Roman"/>
      <w:sz w:val="20"/>
      <w:szCs w:val="20"/>
    </w:rPr>
  </w:style>
  <w:style w:type="paragraph" w:customStyle="1" w:styleId="22">
    <w:name w:val="WPSOffice手动目录 2"/>
    <w:autoRedefine/>
    <w:qFormat/>
    <w:uiPriority w:val="0"/>
    <w:pPr>
      <w:ind w:leftChars="200"/>
    </w:pPr>
    <w:rPr>
      <w:rFonts w:ascii="Times New Roman" w:hAnsi="Times New Roman" w:eastAsia="宋体" w:cs="Times New Roman"/>
      <w:sz w:val="20"/>
      <w:szCs w:val="20"/>
    </w:rPr>
  </w:style>
  <w:style w:type="character" w:customStyle="1" w:styleId="23">
    <w:name w:val="font21"/>
    <w:basedOn w:val="11"/>
    <w:autoRedefine/>
    <w:qFormat/>
    <w:uiPriority w:val="0"/>
    <w:rPr>
      <w:rFonts w:hint="eastAsia" w:ascii="宋体" w:hAnsi="宋体" w:eastAsia="宋体" w:cs="宋体"/>
      <w:color w:val="000000"/>
      <w:sz w:val="16"/>
      <w:szCs w:val="16"/>
      <w:u w:val="none"/>
    </w:rPr>
  </w:style>
  <w:style w:type="character" w:customStyle="1" w:styleId="24">
    <w:name w:val="font51"/>
    <w:basedOn w:val="11"/>
    <w:autoRedefine/>
    <w:qFormat/>
    <w:uiPriority w:val="0"/>
    <w:rPr>
      <w:rFonts w:hint="eastAsia" w:ascii="宋体" w:hAnsi="宋体" w:eastAsia="宋体" w:cs="宋体"/>
      <w:color w:val="000000"/>
      <w:sz w:val="16"/>
      <w:szCs w:val="16"/>
      <w:u w:val="none"/>
    </w:rPr>
  </w:style>
  <w:style w:type="character" w:customStyle="1" w:styleId="25">
    <w:name w:val="font41"/>
    <w:basedOn w:val="11"/>
    <w:autoRedefine/>
    <w:qFormat/>
    <w:uiPriority w:val="0"/>
    <w:rPr>
      <w:rFonts w:hint="eastAsia" w:ascii="宋体" w:hAnsi="宋体" w:eastAsia="宋体" w:cs="宋体"/>
      <w:color w:val="FF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3054</Words>
  <Characters>17413</Characters>
  <Lines>145</Lines>
  <Paragraphs>40</Paragraphs>
  <TotalTime>0</TotalTime>
  <ScaleCrop>false</ScaleCrop>
  <LinksUpToDate>false</LinksUpToDate>
  <CharactersWithSpaces>20427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2023-11-28T09:19:00Z</dcterms:created>
  <dc:creator>子依 肖</dc:creator>
  <cp:lastModifiedBy>Ou</cp:lastModifiedBy>
  <dcterms:modified xsi:type="dcterms:W3CDTF">2024-04-14T04:36:26Z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15E00FBB56224114872D73E4FABFCFA7_12</vt:lpwstr>
  </property>
</Properties>
</file>