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ascii="宋体" w:hAnsi="宋体"/>
          <w:color w:val="auto"/>
          <w:sz w:val="52"/>
          <w:szCs w:val="52"/>
          <w:highlight w:val="none"/>
        </w:rPr>
      </w:pPr>
      <w:bookmarkStart w:id="13" w:name="_GoBack"/>
      <w:bookmarkEnd w:id="13"/>
      <w:r>
        <w:rPr>
          <w:rFonts w:hint="eastAsia" w:ascii="宋体" w:hAnsi="宋体"/>
          <w:color w:val="auto"/>
          <w:sz w:val="52"/>
          <w:szCs w:val="52"/>
          <w:highlight w:val="none"/>
        </w:rPr>
        <w:t>临空经济区</w:t>
      </w:r>
      <w:r>
        <w:rPr>
          <w:rFonts w:hint="eastAsia" w:ascii="宋体" w:hAnsi="宋体"/>
          <w:color w:val="auto"/>
          <w:sz w:val="52"/>
          <w:szCs w:val="52"/>
          <w:highlight w:val="none"/>
          <w:lang w:val="en-US" w:eastAsia="zh-CN"/>
        </w:rPr>
        <w:t>财政</w:t>
      </w:r>
      <w:r>
        <w:rPr>
          <w:rFonts w:hint="eastAsia" w:ascii="宋体" w:hAnsi="宋体"/>
          <w:color w:val="auto"/>
          <w:sz w:val="52"/>
          <w:szCs w:val="52"/>
          <w:highlight w:val="none"/>
        </w:rPr>
        <w:t>衔接资金项目</w:t>
      </w:r>
    </w:p>
    <w:p>
      <w:pPr>
        <w:spacing w:line="300" w:lineRule="auto"/>
        <w:jc w:val="center"/>
        <w:rPr>
          <w:rFonts w:ascii="黑体" w:hAnsi="黑体" w:eastAsia="黑体" w:cs="Times New Roman"/>
          <w:b/>
          <w:sz w:val="72"/>
          <w:szCs w:val="72"/>
          <w14:ligatures w14:val="none"/>
        </w:rPr>
      </w:pPr>
      <w:r>
        <w:rPr>
          <w:rFonts w:hint="eastAsia" w:ascii="黑体" w:hAnsi="黑体" w:eastAsia="黑体" w:cs="Times New Roman"/>
          <w:b/>
          <w:sz w:val="72"/>
          <w:szCs w:val="72"/>
          <w14:ligatures w14:val="none"/>
        </w:rPr>
        <w:t>绩效评价报告</w:t>
      </w:r>
    </w:p>
    <w:p>
      <w:pPr>
        <w:tabs>
          <w:tab w:val="left" w:pos="615"/>
        </w:tabs>
        <w:spacing w:line="300" w:lineRule="auto"/>
        <w:rPr>
          <w:rFonts w:ascii="Times New Roman" w:hAnsi="Times New Roman" w:eastAsia="宋体" w:cs="Times New Roman"/>
          <w14:ligatures w14:val="none"/>
        </w:rPr>
      </w:pPr>
    </w:p>
    <w:p>
      <w:pPr>
        <w:tabs>
          <w:tab w:val="left" w:pos="615"/>
        </w:tabs>
        <w:spacing w:line="300" w:lineRule="auto"/>
        <w:jc w:val="center"/>
        <w:rPr>
          <w:rFonts w:hint="eastAsia" w:ascii="Times New Roman" w:hAnsi="Times New Roman" w:eastAsia="宋体" w:cs="Times New Roman"/>
          <w:sz w:val="36"/>
          <w:szCs w:val="44"/>
          <w:lang w:eastAsia="zh-CN"/>
          <w14:ligatures w14:val="none"/>
        </w:rPr>
      </w:pPr>
      <w:r>
        <w:rPr>
          <w:rFonts w:hint="eastAsia" w:ascii="Times New Roman" w:hAnsi="Times New Roman" w:eastAsia="宋体" w:cs="Times New Roman"/>
          <w:sz w:val="36"/>
          <w:szCs w:val="44"/>
          <w:lang w:eastAsia="zh-CN"/>
          <w14:ligatures w14:val="none"/>
        </w:rPr>
        <w:t>（精简版）</w:t>
      </w:r>
    </w:p>
    <w:p>
      <w:pPr>
        <w:tabs>
          <w:tab w:val="left" w:pos="615"/>
        </w:tabs>
        <w:spacing w:line="300" w:lineRule="auto"/>
        <w:jc w:val="center"/>
        <w:rPr>
          <w:rFonts w:hint="eastAsia" w:eastAsia="宋体"/>
          <w:color w:val="auto"/>
          <w:sz w:val="36"/>
          <w:szCs w:val="44"/>
          <w:highlight w:val="none"/>
          <w:lang w:eastAsia="zh-CN"/>
        </w:rPr>
      </w:pPr>
    </w:p>
    <w:p>
      <w:pPr>
        <w:spacing w:line="300" w:lineRule="auto"/>
        <w:jc w:val="center"/>
        <w:outlineLvl w:val="9"/>
        <w:rPr>
          <w:rFonts w:ascii="黑体" w:hAnsi="黑体" w:eastAsia="黑体"/>
          <w:b/>
          <w:color w:val="auto"/>
          <w:sz w:val="72"/>
          <w:szCs w:val="72"/>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pStyle w:val="2"/>
      </w:pPr>
    </w:p>
    <w:p>
      <w:pPr>
        <w:tabs>
          <w:tab w:val="left" w:pos="615"/>
        </w:tabs>
        <w:spacing w:line="300" w:lineRule="auto"/>
        <w:rPr>
          <w:color w:val="auto"/>
          <w:highlight w:val="none"/>
        </w:rPr>
      </w:pPr>
    </w:p>
    <w:p>
      <w:pPr>
        <w:tabs>
          <w:tab w:val="left" w:pos="615"/>
        </w:tabs>
        <w:spacing w:line="300" w:lineRule="auto"/>
        <w:ind w:firstLine="1687" w:firstLineChars="600"/>
        <w:outlineLvl w:val="9"/>
        <w:rPr>
          <w:b/>
          <w:color w:val="auto"/>
          <w:sz w:val="28"/>
          <w:szCs w:val="28"/>
          <w:highlight w:val="none"/>
        </w:rPr>
      </w:pPr>
      <w:r>
        <w:rPr>
          <w:rFonts w:hint="eastAsia"/>
          <w:b/>
          <w:color w:val="auto"/>
          <w:sz w:val="28"/>
          <w:szCs w:val="28"/>
          <w:highlight w:val="none"/>
        </w:rPr>
        <w:t>项目名称：杨叶镇古塘村电子商务平台项目</w:t>
      </w:r>
    </w:p>
    <w:p>
      <w:pPr>
        <w:tabs>
          <w:tab w:val="left" w:pos="615"/>
        </w:tabs>
        <w:spacing w:line="300" w:lineRule="auto"/>
        <w:ind w:firstLine="1687" w:firstLineChars="600"/>
        <w:rPr>
          <w:b/>
          <w:color w:val="auto"/>
          <w:sz w:val="28"/>
          <w:szCs w:val="28"/>
          <w:highlight w:val="none"/>
        </w:rPr>
      </w:pPr>
      <w:r>
        <w:rPr>
          <w:rFonts w:hint="eastAsia"/>
          <w:b/>
          <w:color w:val="auto"/>
          <w:sz w:val="28"/>
          <w:szCs w:val="28"/>
          <w:highlight w:val="none"/>
        </w:rPr>
        <w:t>项目单位：鄂州市临空经济区杨叶镇古塘村</w:t>
      </w:r>
    </w:p>
    <w:p>
      <w:pPr>
        <w:tabs>
          <w:tab w:val="left" w:pos="615"/>
        </w:tabs>
        <w:spacing w:line="300" w:lineRule="auto"/>
        <w:ind w:firstLine="1687" w:firstLineChars="600"/>
        <w:rPr>
          <w:b/>
          <w:color w:val="auto"/>
          <w:sz w:val="28"/>
          <w:szCs w:val="28"/>
          <w:highlight w:val="none"/>
        </w:rPr>
      </w:pPr>
      <w:r>
        <w:rPr>
          <w:rFonts w:hint="eastAsia"/>
          <w:b/>
          <w:color w:val="auto"/>
          <w:sz w:val="28"/>
          <w:szCs w:val="28"/>
          <w:highlight w:val="none"/>
        </w:rPr>
        <w:t>主管部门：鄂州市临空经济区杨叶镇</w:t>
      </w:r>
    </w:p>
    <w:p>
      <w:pPr>
        <w:tabs>
          <w:tab w:val="left" w:pos="615"/>
        </w:tabs>
        <w:spacing w:line="300" w:lineRule="auto"/>
        <w:ind w:firstLine="1687" w:firstLineChars="600"/>
        <w:outlineLvl w:val="9"/>
        <w:rPr>
          <w:b/>
          <w:color w:val="auto"/>
          <w:sz w:val="28"/>
          <w:szCs w:val="28"/>
          <w:highlight w:val="none"/>
        </w:rPr>
      </w:pPr>
      <w:r>
        <w:rPr>
          <w:rFonts w:hint="eastAsia"/>
          <w:b/>
          <w:color w:val="auto"/>
          <w:sz w:val="28"/>
          <w:szCs w:val="28"/>
          <w:highlight w:val="none"/>
        </w:rPr>
        <w:t>评价机构：湖北众信会计师事务有限公司</w:t>
      </w:r>
    </w:p>
    <w:p>
      <w:pPr>
        <w:spacing w:line="300" w:lineRule="auto"/>
        <w:ind w:firstLine="1687" w:firstLineChars="600"/>
        <w:outlineLvl w:val="9"/>
        <w:rPr>
          <w:b/>
          <w:color w:val="auto"/>
          <w:sz w:val="28"/>
          <w:szCs w:val="28"/>
          <w:highlight w:val="none"/>
        </w:rPr>
      </w:pPr>
      <w:r>
        <w:rPr>
          <w:rFonts w:hint="eastAsia"/>
          <w:b/>
          <w:color w:val="auto"/>
          <w:sz w:val="28"/>
          <w:szCs w:val="28"/>
          <w:highlight w:val="none"/>
        </w:rPr>
        <w:t>报告文号：湖众信绩评字[202</w:t>
      </w:r>
      <w:r>
        <w:rPr>
          <w:rFonts w:hint="eastAsia"/>
          <w:b/>
          <w:color w:val="auto"/>
          <w:sz w:val="28"/>
          <w:szCs w:val="28"/>
          <w:highlight w:val="none"/>
          <w:lang w:val="en-US" w:eastAsia="zh-CN"/>
        </w:rPr>
        <w:t>4</w:t>
      </w:r>
      <w:r>
        <w:rPr>
          <w:rFonts w:hint="eastAsia"/>
          <w:b/>
          <w:color w:val="auto"/>
          <w:sz w:val="28"/>
          <w:szCs w:val="28"/>
          <w:highlight w:val="none"/>
        </w:rPr>
        <w:t>]00</w:t>
      </w:r>
      <w:r>
        <w:rPr>
          <w:rFonts w:hint="eastAsia"/>
          <w:b/>
          <w:color w:val="auto"/>
          <w:sz w:val="28"/>
          <w:szCs w:val="28"/>
          <w:highlight w:val="none"/>
          <w:lang w:val="en-US" w:eastAsia="zh-CN"/>
        </w:rPr>
        <w:t>2</w:t>
      </w:r>
      <w:r>
        <w:rPr>
          <w:rFonts w:hint="eastAsia"/>
          <w:b/>
          <w:color w:val="auto"/>
          <w:sz w:val="28"/>
          <w:szCs w:val="28"/>
          <w:highlight w:val="none"/>
        </w:rPr>
        <w:t>号</w:t>
      </w:r>
    </w:p>
    <w:p>
      <w:pPr>
        <w:widowControl/>
        <w:spacing w:line="300" w:lineRule="auto"/>
        <w:ind w:firstLine="551" w:firstLineChars="196"/>
        <w:jc w:val="left"/>
        <w:rPr>
          <w:rFonts w:ascii="宋体" w:hAnsi="宋体" w:cs="宋体"/>
          <w:b/>
          <w:bCs/>
          <w:color w:val="auto"/>
          <w:kern w:val="0"/>
          <w:sz w:val="28"/>
          <w:szCs w:val="28"/>
          <w:highlight w:val="none"/>
        </w:rPr>
      </w:pPr>
    </w:p>
    <w:p>
      <w:pPr>
        <w:tabs>
          <w:tab w:val="left" w:pos="615"/>
        </w:tabs>
        <w:spacing w:line="300" w:lineRule="auto"/>
        <w:ind w:firstLine="703" w:firstLineChars="250"/>
        <w:rPr>
          <w:b/>
          <w:color w:val="auto"/>
          <w:sz w:val="28"/>
          <w:szCs w:val="28"/>
          <w:highlight w:val="none"/>
        </w:rPr>
      </w:pPr>
    </w:p>
    <w:p>
      <w:pPr>
        <w:spacing w:before="156" w:beforeLines="50" w:line="300" w:lineRule="auto"/>
        <w:ind w:firstLine="4216" w:firstLineChars="1500"/>
        <w:rPr>
          <w:b/>
          <w:bCs/>
          <w:color w:val="auto"/>
          <w:sz w:val="28"/>
          <w:szCs w:val="28"/>
          <w:highlight w:val="none"/>
        </w:rPr>
      </w:pPr>
      <w:r>
        <w:rPr>
          <w:b/>
          <w:bCs/>
          <w:color w:val="auto"/>
          <w:sz w:val="28"/>
          <w:szCs w:val="28"/>
          <w:highlight w:val="none"/>
        </w:rPr>
        <w:t>20</w:t>
      </w:r>
      <w:r>
        <w:rPr>
          <w:rFonts w:hint="eastAsia"/>
          <w:b/>
          <w:bCs/>
          <w:color w:val="auto"/>
          <w:sz w:val="28"/>
          <w:szCs w:val="28"/>
          <w:highlight w:val="none"/>
        </w:rPr>
        <w:t>2</w:t>
      </w:r>
      <w:r>
        <w:rPr>
          <w:rFonts w:hint="eastAsia"/>
          <w:b/>
          <w:bCs/>
          <w:color w:val="auto"/>
          <w:sz w:val="28"/>
          <w:szCs w:val="28"/>
          <w:highlight w:val="none"/>
          <w:lang w:val="en-US" w:eastAsia="zh-CN"/>
        </w:rPr>
        <w:t>4</w:t>
      </w:r>
      <w:r>
        <w:rPr>
          <w:b/>
          <w:bCs/>
          <w:color w:val="auto"/>
          <w:sz w:val="28"/>
          <w:szCs w:val="28"/>
          <w:highlight w:val="none"/>
        </w:rPr>
        <w:t>年</w:t>
      </w:r>
      <w:r>
        <w:rPr>
          <w:rFonts w:hint="eastAsia"/>
          <w:b/>
          <w:bCs/>
          <w:color w:val="auto"/>
          <w:sz w:val="28"/>
          <w:szCs w:val="28"/>
          <w:highlight w:val="none"/>
          <w:lang w:val="en-US" w:eastAsia="zh-CN"/>
        </w:rPr>
        <w:t>3</w:t>
      </w:r>
      <w:r>
        <w:rPr>
          <w:b/>
          <w:bCs/>
          <w:color w:val="auto"/>
          <w:sz w:val="28"/>
          <w:szCs w:val="28"/>
          <w:highlight w:val="none"/>
        </w:rPr>
        <w:t>月</w:t>
      </w:r>
    </w:p>
    <w:p>
      <w:pPr>
        <w:pStyle w:val="2"/>
        <w:rPr>
          <w:b/>
          <w:bCs/>
          <w:color w:val="auto"/>
          <w:sz w:val="28"/>
          <w:szCs w:val="28"/>
          <w:highlight w:val="none"/>
        </w:rPr>
      </w:pPr>
    </w:p>
    <w:p>
      <w:pPr>
        <w:rPr>
          <w:b/>
          <w:bCs/>
          <w:color w:val="auto"/>
          <w:sz w:val="28"/>
          <w:szCs w:val="28"/>
          <w:highlight w:val="none"/>
        </w:rPr>
      </w:pPr>
    </w:p>
    <w:p>
      <w:pPr>
        <w:pStyle w:val="3"/>
        <w:tabs>
          <w:tab w:val="center" w:pos="4742"/>
        </w:tabs>
        <w:spacing w:before="312" w:after="312" w:line="300" w:lineRule="auto"/>
        <w:ind w:firstLine="3975" w:firstLineChars="900"/>
        <w:jc w:val="left"/>
        <w:rPr>
          <w:rFonts w:hint="eastAsia"/>
          <w:lang w:eastAsia="zh-CN"/>
        </w:rPr>
        <w:sectPr>
          <w:headerReference r:id="rId3" w:type="default"/>
          <w:pgSz w:w="11906" w:h="16838"/>
          <w:pgMar w:top="1440" w:right="1800" w:bottom="1440" w:left="1800" w:header="851" w:footer="992" w:gutter="0"/>
          <w:cols w:space="425" w:num="1"/>
          <w:titlePg/>
          <w:docGrid w:type="lines" w:linePitch="312" w:charSpace="0"/>
        </w:sectPr>
      </w:pPr>
    </w:p>
    <w:p>
      <w:pPr>
        <w:pStyle w:val="3"/>
        <w:tabs>
          <w:tab w:val="center" w:pos="4742"/>
        </w:tabs>
        <w:spacing w:before="312" w:after="312" w:line="300" w:lineRule="auto"/>
        <w:ind w:firstLine="3975" w:firstLineChars="900"/>
        <w:jc w:val="left"/>
        <w:rPr>
          <w:rFonts w:ascii="Times New Roman" w:hAnsi="Times New Roman" w:eastAsia="黑体"/>
          <w:b w:val="0"/>
          <w:bCs w:val="0"/>
          <w:color w:val="auto"/>
          <w:highlight w:val="none"/>
        </w:rPr>
      </w:pPr>
      <w:r>
        <w:rPr>
          <w:rFonts w:hint="eastAsia"/>
          <w:lang w:eastAsia="zh-CN"/>
        </w:rPr>
        <w:tab/>
      </w:r>
      <w:bookmarkStart w:id="0" w:name="_Toc29421"/>
      <w:bookmarkStart w:id="1" w:name="_Toc13238"/>
      <w:r>
        <w:rPr>
          <w:rFonts w:hint="eastAsia" w:ascii="Times New Roman" w:hAnsi="Times New Roman" w:eastAsia="黑体"/>
          <w:b w:val="0"/>
          <w:bCs w:val="0"/>
          <w:color w:val="auto"/>
          <w:highlight w:val="none"/>
        </w:rPr>
        <w:t>说</w:t>
      </w:r>
      <w:r>
        <w:rPr>
          <w:rFonts w:hint="eastAsia" w:ascii="Times New Roman" w:hAnsi="Times New Roman" w:eastAsia="黑体"/>
          <w:b w:val="0"/>
          <w:bCs w:val="0"/>
          <w:color w:val="auto"/>
          <w:highlight w:val="none"/>
          <w:lang w:val="en-US" w:eastAsia="zh-CN"/>
        </w:rPr>
        <w:t xml:space="preserve"> </w:t>
      </w:r>
      <w:r>
        <w:rPr>
          <w:rFonts w:hint="eastAsia" w:ascii="Times New Roman" w:hAnsi="Times New Roman" w:eastAsia="黑体"/>
          <w:b w:val="0"/>
          <w:bCs w:val="0"/>
          <w:color w:val="auto"/>
          <w:highlight w:val="none"/>
        </w:rPr>
        <w:t>明</w:t>
      </w:r>
      <w:bookmarkEnd w:id="0"/>
      <w:bookmarkEnd w:id="1"/>
    </w:p>
    <w:p>
      <w:pPr>
        <w:spacing w:line="300" w:lineRule="auto"/>
        <w:rPr>
          <w:color w:val="auto"/>
          <w:highlight w:val="none"/>
        </w:rPr>
      </w:pP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鄂州市临空经济区财政金融局（以下简称财金局）委托，湖北众信会计师事务有限公司对临空经济区杨叶镇古塘村电子商务平台项目（以下简称古塘电子商务项目）专项资金使用情况进行了绩效评价。通过此次评价，全面了解古塘电子商务项目专项资金拨付、使用情况以及取得的综合绩效，同时通过对项目资金绩效评价，总结经验、发现问题、提出改进建议，保证古塘电子商务项目专项资金使用管理的规范性、安全性和有效性。</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本次评价依照财政部《项目支出绩效评价管理办法》（财预[2020]10号文件）、湖北省财政厅关于印发《全面实施预算绩效管理系列制度的通知》（鄂财绩发[2020]3号文件）、</w:t>
      </w:r>
      <w:bookmarkStart w:id="2" w:name="_Hlk152179578"/>
      <w:r>
        <w:rPr>
          <w:rFonts w:hint="eastAsia" w:ascii="仿宋_GB2312" w:hAnsi="宋体" w:eastAsia="仿宋_GB2312"/>
          <w:color w:val="auto"/>
          <w:sz w:val="28"/>
          <w:szCs w:val="28"/>
          <w:highlight w:val="none"/>
        </w:rPr>
        <w:t>临空经济区党工委农村工作领导小组办公室关于印发《2</w:t>
      </w:r>
      <w:r>
        <w:rPr>
          <w:rFonts w:ascii="仿宋_GB2312" w:hAnsi="宋体" w:eastAsia="仿宋_GB2312"/>
          <w:color w:val="auto"/>
          <w:sz w:val="28"/>
          <w:szCs w:val="28"/>
          <w:highlight w:val="none"/>
        </w:rPr>
        <w:t>023</w:t>
      </w:r>
      <w:r>
        <w:rPr>
          <w:rFonts w:hint="eastAsia" w:ascii="仿宋_GB2312" w:hAnsi="宋体" w:eastAsia="仿宋_GB2312"/>
          <w:color w:val="auto"/>
          <w:sz w:val="28"/>
          <w:szCs w:val="28"/>
          <w:highlight w:val="none"/>
        </w:rPr>
        <w:t>年度巩固拓展脱贫攻坚成果同乡村振兴有效衔接项目库的批复的通知》(临空农组办发[</w:t>
      </w:r>
      <w:r>
        <w:rPr>
          <w:rFonts w:ascii="仿宋_GB2312" w:hAnsi="宋体" w:eastAsia="仿宋_GB2312"/>
          <w:color w:val="auto"/>
          <w:sz w:val="28"/>
          <w:szCs w:val="28"/>
          <w:highlight w:val="none"/>
        </w:rPr>
        <w:t>2023]1</w:t>
      </w:r>
      <w:r>
        <w:rPr>
          <w:rFonts w:hint="eastAsia" w:ascii="仿宋_GB2312" w:hAnsi="宋体" w:eastAsia="仿宋_GB2312"/>
          <w:color w:val="auto"/>
          <w:sz w:val="28"/>
          <w:szCs w:val="28"/>
          <w:highlight w:val="none"/>
        </w:rPr>
        <w:t>号)</w:t>
      </w:r>
      <w:bookmarkEnd w:id="2"/>
      <w:r>
        <w:rPr>
          <w:rFonts w:hint="eastAsia" w:ascii="仿宋_GB2312" w:hAnsi="宋体" w:eastAsia="仿宋_GB2312"/>
          <w:color w:val="auto"/>
          <w:sz w:val="28"/>
          <w:szCs w:val="28"/>
          <w:highlight w:val="none"/>
        </w:rPr>
        <w:t>、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湖北省衔接资金项目管理“一本通”》</w:t>
      </w:r>
      <w:r>
        <w:rPr>
          <w:rFonts w:hint="eastAsia" w:ascii="仿宋_GB2312" w:hAnsi="宋体" w:eastAsia="仿宋_GB2312"/>
          <w:color w:val="auto"/>
          <w:sz w:val="28"/>
          <w:szCs w:val="28"/>
          <w:highlight w:val="none"/>
        </w:rPr>
        <w:t>等文件和政策的规定和要求，按时完成了“古塘电子商务项目”绩效评价工作，并形成本绩效评价报告。</w:t>
      </w:r>
    </w:p>
    <w:p>
      <w:pPr>
        <w:widowControl/>
        <w:spacing w:line="300" w:lineRule="auto"/>
        <w:jc w:val="left"/>
        <w:rPr>
          <w:rFonts w:ascii="宋体" w:hAnsi="宋体" w:cs="宋体"/>
          <w:b/>
          <w:bCs/>
          <w:color w:val="auto"/>
          <w:kern w:val="0"/>
          <w:sz w:val="28"/>
          <w:szCs w:val="28"/>
          <w:highlight w:val="none"/>
        </w:rPr>
      </w:pPr>
    </w:p>
    <w:p>
      <w:pPr>
        <w:spacing w:line="300" w:lineRule="auto"/>
        <w:ind w:firstLine="3795" w:firstLineChars="1050"/>
        <w:rPr>
          <w:rFonts w:hint="eastAsia" w:ascii="ˎ̥" w:hAnsi="ˎ̥"/>
          <w:b/>
          <w:color w:val="auto"/>
          <w:sz w:val="36"/>
          <w:szCs w:val="36"/>
          <w:highlight w:val="none"/>
          <w14:ligatures w14:val="none"/>
        </w:rPr>
      </w:pPr>
      <w:bookmarkStart w:id="3" w:name="_Hlk152232993"/>
      <w:r>
        <w:rPr>
          <w:rFonts w:hint="eastAsia" w:ascii="ˎ̥" w:hAnsi="ˎ̥"/>
          <w:b/>
          <w:color w:val="auto"/>
          <w:sz w:val="36"/>
          <w:szCs w:val="36"/>
          <w:highlight w:val="none"/>
          <w14:ligatures w14:val="none"/>
        </w:rPr>
        <w:t>报告摘要</w:t>
      </w:r>
    </w:p>
    <w:p>
      <w:pPr>
        <w:widowControl/>
        <w:spacing w:line="300" w:lineRule="auto"/>
        <w:jc w:val="left"/>
        <w:rPr>
          <w:rFonts w:ascii="宋体" w:hAnsi="宋体" w:cs="宋体"/>
          <w:b/>
          <w:bCs/>
          <w:color w:val="auto"/>
          <w:kern w:val="0"/>
          <w:sz w:val="28"/>
          <w:szCs w:val="28"/>
          <w:highlight w:val="none"/>
        </w:rPr>
      </w:pPr>
    </w:p>
    <w:p>
      <w:pPr>
        <w:widowControl/>
        <w:spacing w:line="300" w:lineRule="auto"/>
        <w:ind w:firstLine="562" w:firstLineChars="200"/>
        <w:jc w:val="left"/>
        <w:rPr>
          <w:rFonts w:hint="eastAsia" w:ascii="宋体" w:hAnsi="宋体" w:cs="宋体"/>
          <w:b/>
          <w:bCs/>
          <w:color w:val="auto"/>
          <w:kern w:val="0"/>
          <w:sz w:val="28"/>
          <w:szCs w:val="28"/>
          <w:highlight w:val="none"/>
          <w14:ligatures w14:val="none"/>
        </w:rPr>
      </w:pPr>
      <w:bookmarkStart w:id="4" w:name="_Toc24671"/>
      <w:r>
        <w:rPr>
          <w:rFonts w:hint="eastAsia" w:ascii="宋体" w:hAnsi="宋体" w:cs="宋体"/>
          <w:b/>
          <w:bCs/>
          <w:color w:val="auto"/>
          <w:kern w:val="0"/>
          <w:sz w:val="28"/>
          <w:szCs w:val="28"/>
          <w:highlight w:val="none"/>
          <w14:ligatures w14:val="none"/>
        </w:rPr>
        <w:t>一、项目基本情况</w:t>
      </w:r>
      <w:bookmarkEnd w:id="4"/>
    </w:p>
    <w:p>
      <w:pPr>
        <w:widowControl/>
        <w:spacing w:line="300" w:lineRule="auto"/>
        <w:ind w:firstLine="551" w:firstLineChars="196"/>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（一）项目立项及批复情况</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镇政府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近年来，随着经济的快速发展，直播带货也成为时代潮流，用好网络销售平台，有助于进一步拓宽农民增收路径，推动乡村电商振兴。为了更好的销售产品，古塘村向镇申报了202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年度乡村振兴项目——古塘电子商务项目.</w:t>
      </w:r>
      <w:r>
        <w:rPr>
          <w:rFonts w:ascii="仿宋_GB2312" w:hAnsi="宋体" w:eastAsia="仿宋_GB2312"/>
          <w:color w:val="auto"/>
          <w:sz w:val="28"/>
          <w:szCs w:val="28"/>
          <w:highlight w:val="none"/>
        </w:rPr>
        <w:t>2023</w:t>
      </w:r>
      <w:r>
        <w:rPr>
          <w:rFonts w:hint="eastAsia" w:ascii="仿宋_GB2312" w:hAnsi="宋体" w:eastAsia="仿宋_GB2312"/>
          <w:color w:val="auto"/>
          <w:sz w:val="28"/>
          <w:szCs w:val="28"/>
          <w:highlight w:val="none"/>
        </w:rPr>
        <w:t>年</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月镇向区乡村振兴局上报了《关于申报财政衔接推动乡村振兴补助资金项目的函》（杨政函</w:t>
      </w:r>
      <w:r>
        <w:rPr>
          <w:rFonts w:ascii="仿宋_GB2312" w:hAnsi="宋体" w:eastAsia="仿宋_GB2312"/>
          <w:color w:val="auto"/>
          <w:sz w:val="28"/>
          <w:szCs w:val="28"/>
          <w:highlight w:val="none"/>
        </w:rPr>
        <w:t>[2023]10</w:t>
      </w:r>
      <w:r>
        <w:rPr>
          <w:rFonts w:hint="eastAsia" w:ascii="仿宋_GB2312" w:hAnsi="宋体" w:eastAsia="仿宋_GB2312"/>
          <w:color w:val="auto"/>
          <w:sz w:val="28"/>
          <w:szCs w:val="28"/>
          <w:highlight w:val="none"/>
        </w:rPr>
        <w:t>号）上报了杨叶镇纳入202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年度临空经济区实施乡村振兴规划项目库，其中包含古塘电子商务项目（项目库名称：古塘电子商务项目）。</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同月，区乡村振兴局向各镇下发了《关于印发</w:t>
      </w:r>
      <w:r>
        <w:rPr>
          <w:rFonts w:ascii="仿宋_GB2312" w:hAnsi="宋体" w:eastAsia="仿宋_GB2312"/>
          <w:color w:val="auto"/>
          <w:sz w:val="28"/>
          <w:szCs w:val="28"/>
          <w:highlight w:val="none"/>
        </w:rPr>
        <w:t>&lt;</w:t>
      </w:r>
      <w:r>
        <w:rPr>
          <w:rFonts w:hint="eastAsia" w:ascii="仿宋_GB2312" w:hAnsi="宋体" w:eastAsia="仿宋_GB2312"/>
          <w:color w:val="auto"/>
          <w:sz w:val="28"/>
          <w:szCs w:val="28"/>
          <w:highlight w:val="none"/>
        </w:rPr>
        <w:t>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年度巩固拓展脱贫攻坚成果同乡村振兴有效衔接项目库的批复</w:t>
      </w:r>
      <w:r>
        <w:rPr>
          <w:rFonts w:ascii="仿宋_GB2312" w:hAnsi="宋体" w:eastAsia="仿宋_GB2312"/>
          <w:color w:val="auto"/>
          <w:sz w:val="28"/>
          <w:szCs w:val="28"/>
          <w:highlight w:val="none"/>
        </w:rPr>
        <w:t>&gt;</w:t>
      </w:r>
      <w:r>
        <w:rPr>
          <w:rFonts w:hint="eastAsia" w:ascii="仿宋_GB2312" w:hAnsi="宋体" w:eastAsia="仿宋_GB2312"/>
          <w:color w:val="auto"/>
          <w:sz w:val="28"/>
          <w:szCs w:val="28"/>
          <w:highlight w:val="none"/>
        </w:rPr>
        <w:t>的通知》，批复了古塘电子商务项目，整合资金1</w:t>
      </w:r>
      <w:r>
        <w:rPr>
          <w:rFonts w:ascii="仿宋_GB2312" w:hAnsi="宋体" w:eastAsia="仿宋_GB2312"/>
          <w:color w:val="auto"/>
          <w:sz w:val="28"/>
          <w:szCs w:val="28"/>
          <w:highlight w:val="none"/>
        </w:rPr>
        <w:t>70</w:t>
      </w:r>
      <w:r>
        <w:rPr>
          <w:rFonts w:hint="eastAsia" w:ascii="仿宋_GB2312" w:hAnsi="宋体" w:eastAsia="仿宋_GB2312"/>
          <w:color w:val="auto"/>
          <w:sz w:val="28"/>
          <w:szCs w:val="28"/>
          <w:highlight w:val="none"/>
        </w:rPr>
        <w:t>万元，其中：财政衔接资金3</w:t>
      </w:r>
      <w:r>
        <w:rPr>
          <w:rFonts w:ascii="仿宋_GB2312" w:hAnsi="宋体" w:eastAsia="仿宋_GB2312"/>
          <w:color w:val="auto"/>
          <w:sz w:val="28"/>
          <w:szCs w:val="28"/>
          <w:highlight w:val="none"/>
        </w:rPr>
        <w:t>0</w:t>
      </w:r>
      <w:r>
        <w:rPr>
          <w:rFonts w:hint="eastAsia" w:ascii="仿宋_GB2312" w:hAnsi="宋体" w:eastAsia="仿宋_GB2312"/>
          <w:color w:val="auto"/>
          <w:sz w:val="28"/>
          <w:szCs w:val="28"/>
          <w:highlight w:val="none"/>
        </w:rPr>
        <w:t>万元，其他资金14</w:t>
      </w:r>
      <w:r>
        <w:rPr>
          <w:rFonts w:ascii="仿宋_GB2312" w:hAnsi="宋体" w:eastAsia="仿宋_GB2312"/>
          <w:color w:val="auto"/>
          <w:sz w:val="28"/>
          <w:szCs w:val="28"/>
          <w:highlight w:val="none"/>
        </w:rPr>
        <w:t>0</w:t>
      </w:r>
      <w:r>
        <w:rPr>
          <w:rFonts w:hint="eastAsia" w:ascii="仿宋_GB2312" w:hAnsi="宋体" w:eastAsia="仿宋_GB2312"/>
          <w:color w:val="auto"/>
          <w:sz w:val="28"/>
          <w:szCs w:val="28"/>
          <w:highlight w:val="none"/>
        </w:rPr>
        <w:t>万元。</w:t>
      </w:r>
    </w:p>
    <w:bookmarkEnd w:id="3"/>
    <w:p>
      <w:pPr>
        <w:widowControl/>
        <w:spacing w:line="300" w:lineRule="auto"/>
        <w:ind w:firstLine="540" w:firstLineChars="192"/>
        <w:jc w:val="left"/>
        <w:outlineLvl w:val="9"/>
        <w:rPr>
          <w:rFonts w:ascii="ˎ̥" w:hAnsi="ˎ̥"/>
          <w:b/>
          <w:color w:val="auto"/>
          <w:sz w:val="28"/>
          <w:szCs w:val="28"/>
          <w:highlight w:val="none"/>
        </w:rPr>
      </w:pPr>
      <w:r>
        <w:rPr>
          <w:rFonts w:hint="eastAsia" w:ascii="宋体" w:hAnsi="宋体" w:cs="宋体"/>
          <w:b/>
          <w:bCs/>
          <w:color w:val="auto"/>
          <w:kern w:val="0"/>
          <w:sz w:val="28"/>
          <w:szCs w:val="28"/>
          <w:highlight w:val="none"/>
        </w:rPr>
        <w:t>（二）</w:t>
      </w:r>
      <w:r>
        <w:rPr>
          <w:rFonts w:hint="eastAsia" w:ascii="ˎ̥" w:hAnsi="ˎ̥"/>
          <w:b/>
          <w:color w:val="auto"/>
          <w:sz w:val="28"/>
          <w:szCs w:val="28"/>
          <w:highlight w:val="none"/>
        </w:rPr>
        <w:t>项目实施单位情况</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杨叶镇古塘村村民委员会（以下简称古塘村），法定代表人：曹祥友。统一社会信用代码：</w:t>
      </w:r>
      <w:r>
        <w:rPr>
          <w:rFonts w:ascii="仿宋_GB2312" w:hAnsi="宋体" w:eastAsia="仿宋_GB2312"/>
          <w:color w:val="auto"/>
          <w:sz w:val="28"/>
          <w:szCs w:val="28"/>
          <w:highlight w:val="none"/>
        </w:rPr>
        <w:t>54420704K26249037E</w:t>
      </w:r>
      <w:r>
        <w:rPr>
          <w:rFonts w:hint="eastAsia" w:ascii="仿宋_GB2312" w:hAnsi="宋体" w:eastAsia="仿宋_GB2312"/>
          <w:color w:val="auto"/>
          <w:sz w:val="28"/>
          <w:szCs w:val="28"/>
          <w:highlight w:val="none"/>
        </w:rPr>
        <w:t>。</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镇古塘村委会位于杨叶镇最北部，毗邻长江，与燕矶镇车湖村、坝角村交界，鄂黄公路自北向南穿境而过。全村国土总面积4.5平方杨公里，其中更低面积2293亩，辖区人口1216户4236人，下辖15条自然湾，15个村民小组。</w:t>
      </w:r>
    </w:p>
    <w:p>
      <w:pPr>
        <w:widowControl/>
        <w:spacing w:line="300" w:lineRule="auto"/>
        <w:ind w:firstLine="540" w:firstLineChars="192"/>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（三）项目基本情况</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目前的趋势来看，通过开展电子商务，可以改变传统的农村经济模式，拓宽农民的营销渠道，提高农产品的销售价格，促进农村经济发展，带动古塘村村民就业，在乡村振兴战略背景下，发展“农村电商”成为促进农业经济发展的重要推动力。也能推动农村农业经济发展，为构建美好乡村提供动力。结合2</w:t>
      </w:r>
      <w:r>
        <w:rPr>
          <w:rFonts w:ascii="仿宋_GB2312" w:hAnsi="宋体" w:eastAsia="仿宋_GB2312"/>
          <w:color w:val="auto"/>
          <w:sz w:val="28"/>
          <w:szCs w:val="28"/>
          <w:highlight w:val="none"/>
        </w:rPr>
        <w:t>022</w:t>
      </w:r>
      <w:r>
        <w:rPr>
          <w:rFonts w:hint="eastAsia" w:ascii="仿宋_GB2312" w:hAnsi="宋体" w:eastAsia="仿宋_GB2312"/>
          <w:color w:val="auto"/>
          <w:sz w:val="28"/>
          <w:szCs w:val="28"/>
          <w:highlight w:val="none"/>
        </w:rPr>
        <w:t>年《中央一号文件》对农村电商领域提出新举措：实施“数商兴农”工程。数字经济是全球未来的发展方向党和政府提出不断做强做优做大数字经济。电子商务是我国数字经济最重要的源头，是数字经济最活跃、最集中的新产业、新业态、新模式，是数字经济最重要的组成部分，是数字经济发展最主要的推动力。电子商务质量发展将全面引领我国数字经济高质量发展，乡村振兴和数字乡村建设中，电子商务工作就是发展数字经济高质量发展，乡村振兴和数字乡村建设中，电子商务工作就是发展数字经济最好的抓手。</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古塘村决定借乡村振兴产融发展的契机，建设农产品展示中心120平方米、农产品包装车间200平方米及配套设施;采购相关设施设备，搭建电商平台;引进专门人才，开展电子商务人员培训、农产品宣传推广。截至</w:t>
      </w:r>
      <w:r>
        <w:rPr>
          <w:rFonts w:hint="eastAsia" w:ascii="仿宋_GB2312" w:hAnsi="宋体" w:eastAsia="仿宋_GB2312"/>
          <w:color w:val="auto"/>
          <w:sz w:val="28"/>
          <w:szCs w:val="28"/>
          <w:highlight w:val="none"/>
          <w:lang w:eastAsia="zh-CN"/>
        </w:rPr>
        <w:t>2024年3月31日</w:t>
      </w:r>
      <w:r>
        <w:rPr>
          <w:rFonts w:hint="eastAsia" w:ascii="仿宋_GB2312" w:hAnsi="宋体" w:eastAsia="仿宋_GB2312"/>
          <w:color w:val="auto"/>
          <w:sz w:val="28"/>
          <w:szCs w:val="28"/>
          <w:highlight w:val="none"/>
        </w:rPr>
        <w:t>，电子商务平台基础设施建设全部完成。</w:t>
      </w:r>
    </w:p>
    <w:p>
      <w:pPr>
        <w:pStyle w:val="8"/>
        <w:widowControl/>
        <w:numPr>
          <w:ilvl w:val="0"/>
          <w:numId w:val="1"/>
        </w:numPr>
        <w:spacing w:line="300" w:lineRule="auto"/>
        <w:ind w:firstLineChars="0"/>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项目绩效目标</w:t>
      </w:r>
    </w:p>
    <w:p>
      <w:pPr>
        <w:spacing w:line="480" w:lineRule="exact"/>
        <w:ind w:left="105" w:leftChars="50" w:right="105" w:rightChars="50" w:firstLine="560" w:firstLineChars="200"/>
        <w:rPr>
          <w:rFonts w:ascii="仿宋_GB2312" w:hAnsi="宋体" w:eastAsia="仿宋_GB2312" w:cstheme="minorBidi"/>
          <w:color w:val="auto"/>
          <w:sz w:val="28"/>
          <w:szCs w:val="28"/>
          <w:highlight w:val="none"/>
        </w:rPr>
      </w:pPr>
      <w:r>
        <w:rPr>
          <w:rFonts w:hint="eastAsia" w:ascii="仿宋_GB2312" w:hAnsi="宋体" w:eastAsia="仿宋_GB2312"/>
          <w:color w:val="auto"/>
          <w:sz w:val="28"/>
          <w:szCs w:val="28"/>
          <w:highlight w:val="none"/>
        </w:rPr>
        <w:t>古塘电子商务项目</w:t>
      </w:r>
      <w:r>
        <w:rPr>
          <w:rFonts w:hint="eastAsia" w:ascii="仿宋_GB2312" w:hAnsi="宋体" w:eastAsia="仿宋_GB2312" w:cstheme="minorBidi"/>
          <w:color w:val="auto"/>
          <w:sz w:val="28"/>
          <w:szCs w:val="28"/>
          <w:highlight w:val="none"/>
        </w:rPr>
        <w:t>，拟投资</w:t>
      </w:r>
      <w:r>
        <w:rPr>
          <w:rFonts w:ascii="仿宋_GB2312" w:hAnsi="宋体" w:eastAsia="仿宋_GB2312" w:cstheme="minorBidi"/>
          <w:color w:val="auto"/>
          <w:sz w:val="28"/>
          <w:szCs w:val="28"/>
          <w:highlight w:val="none"/>
        </w:rPr>
        <w:t>170</w:t>
      </w:r>
      <w:r>
        <w:rPr>
          <w:rFonts w:hint="eastAsia" w:ascii="仿宋_GB2312" w:hAnsi="宋体" w:eastAsia="仿宋_GB2312" w:cstheme="minorBidi"/>
          <w:color w:val="auto"/>
          <w:sz w:val="28"/>
          <w:szCs w:val="28"/>
          <w:highlight w:val="none"/>
        </w:rPr>
        <w:t>万元，主要用于电子商务平台。绩效目标：</w:t>
      </w:r>
    </w:p>
    <w:p>
      <w:pPr>
        <w:spacing w:line="480" w:lineRule="exact"/>
        <w:ind w:right="105" w:rightChars="50" w:firstLine="560" w:firstLineChars="200"/>
        <w:outlineLvl w:val="9"/>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产出指标时效指标项目(工程)完成及时率1</w:t>
      </w:r>
      <w:r>
        <w:rPr>
          <w:rFonts w:ascii="仿宋_GB2312" w:hAnsi="宋体" w:eastAsia="仿宋_GB2312"/>
          <w:color w:val="auto"/>
          <w:sz w:val="28"/>
          <w:szCs w:val="28"/>
          <w:highlight w:val="none"/>
        </w:rPr>
        <w:t>00</w:t>
      </w:r>
      <w:r>
        <w:rPr>
          <w:rFonts w:hint="eastAsia" w:ascii="仿宋_GB2312" w:hAnsi="宋体" w:eastAsia="仿宋_GB2312"/>
          <w:color w:val="auto"/>
          <w:sz w:val="28"/>
          <w:szCs w:val="28"/>
          <w:highlight w:val="none"/>
        </w:rPr>
        <w:t>%；</w:t>
      </w:r>
    </w:p>
    <w:p>
      <w:pPr>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经济效益：不断提升交通运输能力，促进产业结构发展，哀激活当地经济发展。同时，提高道路通行能力，促进乡村旅游，带动增加旅游收入。</w:t>
      </w:r>
    </w:p>
    <w:p>
      <w:pPr>
        <w:widowControl/>
        <w:spacing w:line="300" w:lineRule="auto"/>
        <w:ind w:firstLine="537" w:firstLineChars="192"/>
        <w:jc w:val="left"/>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社会效益：一是村通客车率</w:t>
      </w:r>
      <w:r>
        <w:rPr>
          <w:rFonts w:ascii="Arial" w:hAnsi="Arial" w:eastAsia="仿宋_GB2312" w:cs="Arial"/>
          <w:color w:val="auto"/>
          <w:sz w:val="28"/>
          <w:szCs w:val="28"/>
          <w:highlight w:val="none"/>
        </w:rPr>
        <w:t>≥</w:t>
      </w:r>
      <w:r>
        <w:rPr>
          <w:rFonts w:hint="eastAsia" w:ascii="仿宋_GB2312" w:hAnsi="宋体" w:eastAsia="仿宋_GB2312"/>
          <w:color w:val="auto"/>
          <w:sz w:val="28"/>
          <w:szCs w:val="28"/>
          <w:highlight w:val="none"/>
        </w:rPr>
        <w:t>1</w:t>
      </w:r>
      <w:r>
        <w:rPr>
          <w:rFonts w:ascii="仿宋_GB2312" w:hAnsi="宋体" w:eastAsia="仿宋_GB2312"/>
          <w:color w:val="auto"/>
          <w:sz w:val="28"/>
          <w:szCs w:val="28"/>
          <w:highlight w:val="none"/>
        </w:rPr>
        <w:t>00</w:t>
      </w:r>
      <w:r>
        <w:rPr>
          <w:rFonts w:hint="eastAsia" w:ascii="仿宋_GB2312" w:hAnsi="宋体" w:eastAsia="仿宋_GB2312"/>
          <w:color w:val="auto"/>
          <w:sz w:val="28"/>
          <w:szCs w:val="28"/>
          <w:highlight w:val="none"/>
        </w:rPr>
        <w:t>%；二是村通硬化路率</w:t>
      </w:r>
      <w:r>
        <w:rPr>
          <w:rFonts w:ascii="Arial" w:hAnsi="Arial" w:eastAsia="仿宋_GB2312" w:cs="Arial"/>
          <w:color w:val="auto"/>
          <w:sz w:val="28"/>
          <w:szCs w:val="28"/>
          <w:highlight w:val="none"/>
        </w:rPr>
        <w:t>≥</w:t>
      </w:r>
      <w:r>
        <w:rPr>
          <w:rFonts w:hint="eastAsia" w:ascii="仿宋_GB2312" w:hAnsi="宋体" w:eastAsia="仿宋_GB2312"/>
          <w:color w:val="auto"/>
          <w:sz w:val="28"/>
          <w:szCs w:val="28"/>
          <w:highlight w:val="none"/>
        </w:rPr>
        <w:t>1</w:t>
      </w:r>
      <w:r>
        <w:rPr>
          <w:rFonts w:ascii="仿宋_GB2312" w:hAnsi="宋体" w:eastAsia="仿宋_GB2312"/>
          <w:color w:val="auto"/>
          <w:sz w:val="28"/>
          <w:szCs w:val="28"/>
          <w:highlight w:val="none"/>
        </w:rPr>
        <w:t>00</w:t>
      </w:r>
      <w:r>
        <w:rPr>
          <w:rFonts w:hint="eastAsia" w:ascii="仿宋_GB2312" w:hAnsi="宋体" w:eastAsia="仿宋_GB2312"/>
          <w:color w:val="auto"/>
          <w:sz w:val="28"/>
          <w:szCs w:val="28"/>
          <w:highlight w:val="none"/>
        </w:rPr>
        <w:t>%；三是居民出行平均缩短时间</w:t>
      </w:r>
      <w:r>
        <w:rPr>
          <w:rFonts w:ascii="Arial" w:hAnsi="Arial" w:eastAsia="仿宋_GB2312" w:cs="Arial"/>
          <w:color w:val="auto"/>
          <w:sz w:val="28"/>
          <w:szCs w:val="28"/>
          <w:highlight w:val="none"/>
        </w:rPr>
        <w:t>≥</w:t>
      </w:r>
      <w:r>
        <w:rPr>
          <w:rFonts w:hint="eastAsia" w:ascii="仿宋_GB2312" w:hAnsi="宋体" w:eastAsia="仿宋_GB2312"/>
          <w:color w:val="auto"/>
          <w:sz w:val="28"/>
          <w:szCs w:val="28"/>
          <w:highlight w:val="none"/>
        </w:rPr>
        <w:t>0</w:t>
      </w:r>
      <w:r>
        <w:rPr>
          <w:rFonts w:ascii="仿宋_GB2312" w:hAnsi="宋体" w:eastAsia="仿宋_GB2312"/>
          <w:color w:val="auto"/>
          <w:sz w:val="28"/>
          <w:szCs w:val="28"/>
          <w:highlight w:val="none"/>
        </w:rPr>
        <w:t>.5</w:t>
      </w:r>
      <w:r>
        <w:rPr>
          <w:rFonts w:hint="eastAsia" w:ascii="仿宋_GB2312" w:hAnsi="宋体" w:eastAsia="仿宋_GB2312"/>
          <w:color w:val="auto"/>
          <w:sz w:val="28"/>
          <w:szCs w:val="28"/>
          <w:highlight w:val="none"/>
        </w:rPr>
        <w:t>小时；四是组通路率</w:t>
      </w:r>
      <w:r>
        <w:rPr>
          <w:rFonts w:ascii="Arial" w:hAnsi="Arial" w:eastAsia="仿宋_GB2312" w:cs="Arial"/>
          <w:color w:val="auto"/>
          <w:sz w:val="28"/>
          <w:szCs w:val="28"/>
          <w:highlight w:val="none"/>
        </w:rPr>
        <w:t>≥</w:t>
      </w:r>
      <w:r>
        <w:rPr>
          <w:rFonts w:hint="eastAsia" w:ascii="仿宋_GB2312" w:hAnsi="宋体" w:eastAsia="仿宋_GB2312"/>
          <w:color w:val="auto"/>
          <w:sz w:val="28"/>
          <w:szCs w:val="28"/>
          <w:highlight w:val="none"/>
        </w:rPr>
        <w:t>1</w:t>
      </w:r>
      <w:r>
        <w:rPr>
          <w:rFonts w:ascii="仿宋_GB2312" w:hAnsi="宋体" w:eastAsia="仿宋_GB2312"/>
          <w:color w:val="auto"/>
          <w:sz w:val="28"/>
          <w:szCs w:val="28"/>
          <w:highlight w:val="none"/>
        </w:rPr>
        <w:t>00</w:t>
      </w:r>
      <w:r>
        <w:rPr>
          <w:rFonts w:hint="eastAsia" w:ascii="仿宋_GB2312" w:hAnsi="宋体" w:eastAsia="仿宋_GB2312"/>
          <w:color w:val="auto"/>
          <w:sz w:val="28"/>
          <w:szCs w:val="28"/>
          <w:highlight w:val="none"/>
        </w:rPr>
        <w:t>%；五是全村人口都能受益；六是受益建档立卡脱贫户数不低于103户。</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rPr>
        <w:t>生态效益环保指数≥100%。</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5、</w:t>
      </w:r>
      <w:r>
        <w:rPr>
          <w:rFonts w:hint="eastAsia" w:ascii="仿宋_GB2312" w:hAnsi="宋体" w:eastAsia="仿宋_GB2312"/>
          <w:color w:val="auto"/>
          <w:sz w:val="28"/>
          <w:szCs w:val="28"/>
          <w:highlight w:val="none"/>
        </w:rPr>
        <w:t>可持续影响：工程设计使用年限≥50年。</w:t>
      </w:r>
    </w:p>
    <w:p>
      <w:pPr>
        <w:spacing w:line="300" w:lineRule="auto"/>
        <w:ind w:firstLine="562" w:firstLineChars="200"/>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（五）项目申报及完成投资情况</w:t>
      </w:r>
    </w:p>
    <w:p>
      <w:pPr>
        <w:spacing w:line="300" w:lineRule="auto"/>
        <w:ind w:firstLine="560" w:firstLineChars="200"/>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1、项目申报</w:t>
      </w:r>
      <w:r>
        <w:rPr>
          <w:rFonts w:hint="eastAsia" w:ascii="仿宋_GB2312" w:hAnsi="宋体" w:eastAsia="仿宋_GB2312"/>
          <w:color w:val="auto"/>
          <w:sz w:val="28"/>
          <w:szCs w:val="28"/>
          <w:highlight w:val="none"/>
        </w:rPr>
        <w:t>投资</w:t>
      </w:r>
      <w:r>
        <w:rPr>
          <w:rFonts w:hint="eastAsia" w:ascii="仿宋_GB2312" w:hAnsi="宋体" w:eastAsia="仿宋_GB2312"/>
          <w:color w:val="auto"/>
          <w:sz w:val="28"/>
          <w:szCs w:val="28"/>
          <w:highlight w:val="none"/>
          <w:lang w:val="en-US" w:eastAsia="zh-CN"/>
        </w:rPr>
        <w:t>1,700,000.00元，其中：财政衔接资金300,000.00元，其他资金1,400,000.00元。</w:t>
      </w:r>
    </w:p>
    <w:p>
      <w:pPr>
        <w:spacing w:line="300" w:lineRule="auto"/>
        <w:ind w:firstLine="560" w:firstLineChars="200"/>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2、项目完成投资1,707,377</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95</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val="en-US" w:eastAsia="zh-CN"/>
        </w:rPr>
        <w:t>。经审查：截至2024年3月31日，</w:t>
      </w:r>
      <w:r>
        <w:rPr>
          <w:rFonts w:hint="eastAsia" w:ascii="仿宋_GB2312" w:hAnsi="宋体" w:eastAsia="仿宋_GB2312"/>
          <w:color w:val="auto"/>
          <w:sz w:val="28"/>
          <w:szCs w:val="28"/>
          <w:highlight w:val="none"/>
        </w:rPr>
        <w:t>古塘电子商务项目</w:t>
      </w:r>
      <w:r>
        <w:rPr>
          <w:rFonts w:hint="eastAsia" w:ascii="仿宋_GB2312" w:hAnsi="宋体" w:eastAsia="仿宋_GB2312"/>
          <w:color w:val="auto"/>
          <w:sz w:val="28"/>
          <w:szCs w:val="28"/>
          <w:highlight w:val="none"/>
          <w:lang w:val="en-US" w:eastAsia="zh-CN"/>
        </w:rPr>
        <w:t>完成</w:t>
      </w:r>
      <w:r>
        <w:rPr>
          <w:rFonts w:hint="eastAsia" w:ascii="仿宋_GB2312" w:hAnsi="宋体" w:eastAsia="仿宋_GB2312"/>
          <w:color w:val="auto"/>
          <w:sz w:val="28"/>
          <w:szCs w:val="28"/>
          <w:highlight w:val="none"/>
        </w:rPr>
        <w:t>投资</w:t>
      </w:r>
      <w:r>
        <w:rPr>
          <w:rFonts w:hint="eastAsia" w:ascii="仿宋_GB2312" w:hAnsi="宋体" w:eastAsia="仿宋_GB2312"/>
          <w:color w:val="auto"/>
          <w:sz w:val="28"/>
          <w:szCs w:val="28"/>
          <w:highlight w:val="none"/>
          <w:lang w:val="en-US" w:eastAsia="zh-CN"/>
        </w:rPr>
        <w:t>1,707,377</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95</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其中：农产品展示中心及销售平台建设工程项目（鄂州奥淇广告装饰有限公司）188,487.95元（审定金额）。设备投资（</w:t>
      </w:r>
      <w:r>
        <w:rPr>
          <w:rFonts w:hint="eastAsia" w:ascii="仿宋_GB2312" w:eastAsia="仿宋_GB2312"/>
          <w:color w:val="auto"/>
          <w:sz w:val="28"/>
          <w:szCs w:val="28"/>
          <w:highlight w:val="none"/>
          <w:lang w:val="en-US" w:eastAsia="zh-CN"/>
        </w:rPr>
        <w:t>湖北省鄂州市裕意商贸有限公司）161,890.00元（合同金额），项目</w:t>
      </w:r>
      <w:r>
        <w:rPr>
          <w:rFonts w:hint="eastAsia" w:ascii="仿宋_GB2312" w:hAnsi="宋体" w:eastAsia="仿宋_GB2312"/>
          <w:color w:val="auto"/>
          <w:sz w:val="28"/>
          <w:szCs w:val="28"/>
          <w:highlight w:val="none"/>
          <w:lang w:val="en-US" w:eastAsia="zh-CN"/>
        </w:rPr>
        <w:t>配套装饰装修工程（湖北民佳建设工程有限公司）1,357,000.00元（合同金额）。</w:t>
      </w:r>
    </w:p>
    <w:p>
      <w:pPr>
        <w:spacing w:line="300" w:lineRule="auto"/>
        <w:ind w:firstLine="560" w:firstLineChars="200"/>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注：</w:t>
      </w:r>
      <w:r>
        <w:rPr>
          <w:rFonts w:hint="eastAsia" w:ascii="仿宋_GB2312" w:eastAsia="仿宋_GB2312"/>
          <w:color w:val="auto"/>
          <w:sz w:val="28"/>
          <w:szCs w:val="28"/>
          <w:highlight w:val="none"/>
          <w:lang w:val="en-US" w:eastAsia="zh-CN"/>
        </w:rPr>
        <w:t>项目</w:t>
      </w:r>
      <w:r>
        <w:rPr>
          <w:rFonts w:hint="eastAsia" w:ascii="仿宋_GB2312" w:hAnsi="宋体" w:eastAsia="仿宋_GB2312"/>
          <w:color w:val="auto"/>
          <w:sz w:val="28"/>
          <w:szCs w:val="28"/>
          <w:highlight w:val="none"/>
          <w:lang w:val="en-US" w:eastAsia="zh-CN"/>
        </w:rPr>
        <w:t>配套装饰装修工程（湖北民佳建设工程有限公司）1,357,000.00元（合同金额）未见任何相关验收及支付程序。如果扣除该合同金额，则项目完成投资只有350,377</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95</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val="en-US" w:eastAsia="zh-CN"/>
        </w:rPr>
        <w:t>。</w:t>
      </w:r>
    </w:p>
    <w:p>
      <w:pPr>
        <w:numPr>
          <w:ilvl w:val="0"/>
          <w:numId w:val="0"/>
        </w:numPr>
        <w:spacing w:line="300" w:lineRule="auto"/>
        <w:ind w:firstLine="560" w:firstLineChars="200"/>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3、超额投资7,377</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95</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val="en-US" w:eastAsia="zh-CN"/>
        </w:rPr>
        <w:t>。经审查：截至2024年3月31日，</w:t>
      </w:r>
      <w:r>
        <w:rPr>
          <w:rFonts w:hint="eastAsia" w:ascii="仿宋_GB2312" w:hAnsi="宋体" w:eastAsia="仿宋_GB2312"/>
          <w:color w:val="auto"/>
          <w:sz w:val="28"/>
          <w:szCs w:val="28"/>
          <w:highlight w:val="none"/>
        </w:rPr>
        <w:t>古塘电子商务项目</w:t>
      </w:r>
      <w:r>
        <w:rPr>
          <w:rFonts w:hint="eastAsia" w:ascii="仿宋_GB2312" w:hAnsi="宋体" w:eastAsia="仿宋_GB2312"/>
          <w:color w:val="auto"/>
          <w:sz w:val="28"/>
          <w:szCs w:val="28"/>
          <w:highlight w:val="none"/>
          <w:lang w:val="en-US" w:eastAsia="zh-CN"/>
        </w:rPr>
        <w:t>完成</w:t>
      </w:r>
      <w:r>
        <w:rPr>
          <w:rFonts w:hint="eastAsia" w:ascii="仿宋_GB2312" w:hAnsi="宋体" w:eastAsia="仿宋_GB2312"/>
          <w:color w:val="auto"/>
          <w:sz w:val="28"/>
          <w:szCs w:val="28"/>
          <w:highlight w:val="none"/>
        </w:rPr>
        <w:t>投资</w:t>
      </w:r>
      <w:r>
        <w:rPr>
          <w:rFonts w:hint="eastAsia" w:ascii="仿宋_GB2312" w:hAnsi="宋体" w:eastAsia="仿宋_GB2312"/>
          <w:color w:val="auto"/>
          <w:sz w:val="28"/>
          <w:szCs w:val="28"/>
          <w:highlight w:val="none"/>
          <w:lang w:val="en-US" w:eastAsia="zh-CN"/>
        </w:rPr>
        <w:t>1,707,377</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95</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超申报投资7,377</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95</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val="en-US" w:eastAsia="zh-CN"/>
        </w:rPr>
        <w:t>。</w:t>
      </w:r>
    </w:p>
    <w:p>
      <w:pPr>
        <w:numPr>
          <w:ilvl w:val="0"/>
          <w:numId w:val="0"/>
        </w:numPr>
        <w:spacing w:line="300" w:lineRule="auto"/>
        <w:ind w:firstLine="560" w:firstLineChars="200"/>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注：如果扣除</w:t>
      </w:r>
      <w:r>
        <w:rPr>
          <w:rFonts w:hint="eastAsia" w:ascii="仿宋_GB2312" w:eastAsia="仿宋_GB2312"/>
          <w:color w:val="auto"/>
          <w:sz w:val="28"/>
          <w:szCs w:val="28"/>
          <w:highlight w:val="none"/>
          <w:lang w:val="en-US" w:eastAsia="zh-CN"/>
        </w:rPr>
        <w:t>项目</w:t>
      </w:r>
      <w:r>
        <w:rPr>
          <w:rFonts w:hint="eastAsia" w:ascii="仿宋_GB2312" w:hAnsi="宋体" w:eastAsia="仿宋_GB2312"/>
          <w:color w:val="auto"/>
          <w:sz w:val="28"/>
          <w:szCs w:val="28"/>
          <w:highlight w:val="none"/>
          <w:lang w:val="en-US" w:eastAsia="zh-CN"/>
        </w:rPr>
        <w:t>配套装饰装修工程（湖北民佳建设工程有限公司）1,357,000.00元（合同金额），则实际投资只有350,377</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95</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未完成申报投资。</w:t>
      </w:r>
    </w:p>
    <w:p>
      <w:pPr>
        <w:widowControl/>
        <w:spacing w:line="300" w:lineRule="auto"/>
        <w:ind w:firstLine="562" w:firstLineChars="200"/>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w:t>
      </w:r>
      <w:r>
        <w:rPr>
          <w:rFonts w:hint="eastAsia" w:ascii="宋体" w:hAnsi="宋体" w:cs="宋体"/>
          <w:b/>
          <w:bCs/>
          <w:color w:val="auto"/>
          <w:kern w:val="0"/>
          <w:sz w:val="28"/>
          <w:szCs w:val="28"/>
          <w:highlight w:val="none"/>
          <w:lang w:val="en-US" w:eastAsia="zh-CN"/>
        </w:rPr>
        <w:t>六</w:t>
      </w:r>
      <w:r>
        <w:rPr>
          <w:rFonts w:hint="eastAsia" w:ascii="宋体" w:hAnsi="宋体" w:cs="宋体"/>
          <w:b/>
          <w:bCs/>
          <w:color w:val="auto"/>
          <w:kern w:val="0"/>
          <w:sz w:val="28"/>
          <w:szCs w:val="28"/>
          <w:highlight w:val="none"/>
        </w:rPr>
        <w:t>）项目资金收付情况</w:t>
      </w:r>
    </w:p>
    <w:p>
      <w:pPr>
        <w:widowControl/>
        <w:spacing w:line="300" w:lineRule="auto"/>
        <w:ind w:firstLine="560" w:firstLineChars="200"/>
        <w:jc w:val="left"/>
        <w:rPr>
          <w:rFonts w:ascii="仿宋_GB2312" w:hAnsi="宋体" w:eastAsia="仿宋_GB2312"/>
          <w:color w:val="auto"/>
          <w:sz w:val="28"/>
          <w:szCs w:val="28"/>
          <w:highlight w:val="none"/>
        </w:rPr>
      </w:pPr>
      <w:bookmarkStart w:id="5" w:name="_Hlk152699962"/>
      <w:r>
        <w:rPr>
          <w:rFonts w:hint="eastAsia" w:ascii="仿宋_GB2312" w:hAnsi="宋体" w:eastAsia="仿宋_GB2312"/>
          <w:color w:val="auto"/>
          <w:sz w:val="28"/>
          <w:szCs w:val="28"/>
          <w:highlight w:val="none"/>
        </w:rPr>
        <w:t>临空经济区乡村振兴财政衔接资金，采取财政直达方式，直接拨付至用款单位。</w:t>
      </w:r>
    </w:p>
    <w:p>
      <w:pPr>
        <w:widowControl/>
        <w:spacing w:line="300" w:lineRule="auto"/>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该项目安排财政衔接资金300,000.00元。</w:t>
      </w:r>
    </w:p>
    <w:p>
      <w:pPr>
        <w:widowControl/>
        <w:spacing w:line="300" w:lineRule="auto"/>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截至202</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rPr>
        <w:t>年</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月</w:t>
      </w:r>
      <w:r>
        <w:rPr>
          <w:rFonts w:hint="eastAsia" w:ascii="仿宋_GB2312" w:hAnsi="宋体" w:eastAsia="仿宋_GB2312"/>
          <w:color w:val="auto"/>
          <w:sz w:val="28"/>
          <w:szCs w:val="28"/>
          <w:highlight w:val="none"/>
          <w:lang w:val="en-US" w:eastAsia="zh-CN"/>
        </w:rPr>
        <w:t>31</w:t>
      </w:r>
      <w:r>
        <w:rPr>
          <w:rFonts w:hint="eastAsia" w:ascii="仿宋_GB2312" w:hAnsi="宋体" w:eastAsia="仿宋_GB2312"/>
          <w:color w:val="auto"/>
          <w:sz w:val="28"/>
          <w:szCs w:val="28"/>
          <w:highlight w:val="none"/>
        </w:rPr>
        <w:t>日，已经拨付</w:t>
      </w:r>
      <w:r>
        <w:rPr>
          <w:rFonts w:hint="eastAsia" w:ascii="仿宋_GB2312" w:hAnsi="宋体" w:eastAsia="仿宋_GB2312"/>
          <w:color w:val="auto"/>
          <w:sz w:val="28"/>
          <w:szCs w:val="28"/>
          <w:highlight w:val="none"/>
          <w:lang w:val="en-US" w:eastAsia="zh-CN"/>
        </w:rPr>
        <w:t>财政</w:t>
      </w:r>
      <w:r>
        <w:rPr>
          <w:rFonts w:hint="eastAsia" w:ascii="仿宋_GB2312" w:hAnsi="宋体" w:eastAsia="仿宋_GB2312"/>
          <w:color w:val="auto"/>
          <w:sz w:val="28"/>
          <w:szCs w:val="28"/>
          <w:highlight w:val="none"/>
        </w:rPr>
        <w:t>衔接资金</w:t>
      </w:r>
      <w:r>
        <w:rPr>
          <w:rFonts w:ascii="仿宋_GB2312" w:hAnsi="宋体" w:eastAsia="仿宋_GB2312"/>
          <w:color w:val="auto"/>
          <w:sz w:val="28"/>
          <w:szCs w:val="28"/>
          <w:highlight w:val="none"/>
        </w:rPr>
        <w:t>30</w:t>
      </w:r>
      <w:r>
        <w:rPr>
          <w:rFonts w:hint="eastAsia" w:ascii="仿宋_GB2312" w:hAnsi="宋体" w:eastAsia="仿宋_GB2312"/>
          <w:color w:val="auto"/>
          <w:sz w:val="28"/>
          <w:szCs w:val="28"/>
          <w:highlight w:val="none"/>
        </w:rPr>
        <w:t>0,000.00元，其中：湖北省鄂州市裕意商贸有限公司</w:t>
      </w:r>
      <w:r>
        <w:rPr>
          <w:rFonts w:ascii="仿宋_GB2312" w:hAnsi="宋体" w:eastAsia="仿宋_GB2312"/>
          <w:color w:val="auto"/>
          <w:sz w:val="28"/>
          <w:szCs w:val="28"/>
          <w:highlight w:val="none"/>
        </w:rPr>
        <w:t>150,000.00</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未见审计）</w:t>
      </w:r>
      <w:r>
        <w:rPr>
          <w:rFonts w:hint="eastAsia" w:ascii="仿宋_GB2312" w:hAnsi="宋体" w:eastAsia="仿宋_GB2312"/>
          <w:color w:val="auto"/>
          <w:sz w:val="28"/>
          <w:szCs w:val="28"/>
          <w:highlight w:val="none"/>
        </w:rPr>
        <w:t>，鄂州奥淇广告装饰有限公司</w:t>
      </w:r>
      <w:r>
        <w:rPr>
          <w:rFonts w:ascii="仿宋_GB2312" w:hAnsi="宋体" w:eastAsia="仿宋_GB2312"/>
          <w:color w:val="auto"/>
          <w:sz w:val="28"/>
          <w:szCs w:val="28"/>
          <w:highlight w:val="none"/>
        </w:rPr>
        <w:t>150,000.00</w:t>
      </w:r>
      <w:r>
        <w:rPr>
          <w:rFonts w:hint="eastAsia" w:ascii="仿宋_GB2312" w:hAnsi="宋体" w:eastAsia="仿宋_GB2312"/>
          <w:color w:val="auto"/>
          <w:sz w:val="28"/>
          <w:szCs w:val="28"/>
          <w:highlight w:val="none"/>
        </w:rPr>
        <w:t>元</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已完成审计）</w:t>
      </w:r>
      <w:r>
        <w:rPr>
          <w:rFonts w:hint="eastAsia" w:ascii="仿宋_GB2312" w:hAnsi="宋体" w:eastAsia="仿宋_GB2312"/>
          <w:color w:val="auto"/>
          <w:sz w:val="28"/>
          <w:szCs w:val="28"/>
          <w:highlight w:val="none"/>
        </w:rPr>
        <w:t>。</w:t>
      </w:r>
    </w:p>
    <w:bookmarkEnd w:id="5"/>
    <w:p>
      <w:pPr>
        <w:widowControl/>
        <w:spacing w:line="300" w:lineRule="auto"/>
        <w:ind w:firstLine="413" w:firstLineChars="147"/>
        <w:jc w:val="left"/>
        <w:outlineLvl w:val="9"/>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二、绩效评价工作情况</w:t>
      </w:r>
    </w:p>
    <w:p>
      <w:pPr>
        <w:widowControl/>
        <w:spacing w:line="300" w:lineRule="auto"/>
        <w:ind w:firstLine="413" w:firstLineChars="147"/>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（一）绩效评价目的</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本次评价，旨在全面了解古塘电子商务项目建设情况、专项资金拨付和使用情况以及取得的综合绩效。同时通过对项目资金绩效评价，总结经验、发现问题、提出改进建议，保证项目资金使用管理的规范性、安全性和有效性。推进景区健康、可持续发展做出积极的贡献。</w:t>
      </w:r>
    </w:p>
    <w:p>
      <w:pPr>
        <w:widowControl/>
        <w:spacing w:line="300" w:lineRule="auto"/>
        <w:ind w:firstLine="413" w:firstLineChars="147"/>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（二）评价对象与范围</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本次资金绩效评价对象与范围为：古塘电子商务项目财政衔接资金</w:t>
      </w:r>
      <w:r>
        <w:rPr>
          <w:rFonts w:ascii="仿宋_GB2312" w:hAnsi="宋体" w:eastAsia="仿宋_GB2312"/>
          <w:color w:val="auto"/>
          <w:sz w:val="28"/>
          <w:szCs w:val="28"/>
          <w:highlight w:val="none"/>
        </w:rPr>
        <w:t>30</w:t>
      </w:r>
      <w:r>
        <w:rPr>
          <w:rFonts w:hint="eastAsia" w:ascii="仿宋_GB2312" w:hAnsi="宋体" w:eastAsia="仿宋_GB2312"/>
          <w:color w:val="auto"/>
          <w:sz w:val="28"/>
          <w:szCs w:val="28"/>
          <w:highlight w:val="none"/>
        </w:rPr>
        <w:t>万元及其他资金</w:t>
      </w:r>
      <w:r>
        <w:rPr>
          <w:rFonts w:ascii="仿宋_GB2312" w:hAnsi="宋体" w:eastAsia="仿宋_GB2312"/>
          <w:color w:val="auto"/>
          <w:sz w:val="28"/>
          <w:szCs w:val="28"/>
          <w:highlight w:val="none"/>
        </w:rPr>
        <w:t>140</w:t>
      </w:r>
      <w:r>
        <w:rPr>
          <w:rFonts w:hint="eastAsia" w:ascii="仿宋_GB2312" w:hAnsi="宋体" w:eastAsia="仿宋_GB2312"/>
          <w:color w:val="auto"/>
          <w:sz w:val="28"/>
          <w:szCs w:val="28"/>
          <w:highlight w:val="none"/>
        </w:rPr>
        <w:t>万元的拨付和使用情况。</w:t>
      </w:r>
      <w:bookmarkStart w:id="6" w:name="_Toc10185"/>
    </w:p>
    <w:p>
      <w:pPr>
        <w:spacing w:line="300" w:lineRule="auto"/>
        <w:ind w:firstLine="562" w:firstLineChars="200"/>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二、评价结论</w:t>
      </w:r>
      <w:bookmarkEnd w:id="6"/>
    </w:p>
    <w:p>
      <w:pPr>
        <w:widowControl/>
        <w:spacing w:line="300" w:lineRule="auto"/>
        <w:ind w:firstLine="413" w:firstLineChars="147"/>
        <w:jc w:val="left"/>
        <w:outlineLvl w:val="9"/>
        <w:rPr>
          <w:rFonts w:ascii="宋体" w:hAnsi="宋体" w:cs="宋体"/>
          <w:b/>
          <w:bCs/>
          <w:color w:val="auto"/>
          <w:kern w:val="0"/>
          <w:sz w:val="28"/>
          <w:szCs w:val="28"/>
          <w:highlight w:val="none"/>
        </w:rPr>
      </w:pPr>
      <w:bookmarkStart w:id="7" w:name="_Toc25096"/>
      <w:r>
        <w:rPr>
          <w:rFonts w:hint="eastAsia" w:ascii="宋体" w:hAnsi="宋体" w:cs="宋体"/>
          <w:b/>
          <w:bCs/>
          <w:color w:val="auto"/>
          <w:kern w:val="0"/>
          <w:sz w:val="28"/>
          <w:szCs w:val="28"/>
          <w:highlight w:val="none"/>
        </w:rPr>
        <w:t>（一）评分结果</w:t>
      </w:r>
      <w:bookmarkEnd w:id="7"/>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古塘电子商务项目专项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color w:val="auto"/>
          <w:highlight w:val="none"/>
        </w:rPr>
      </w:pPr>
      <w:r>
        <w:rPr>
          <w:rFonts w:hint="eastAsia" w:ascii="仿宋_GB2312" w:hAnsi="宋体" w:eastAsia="仿宋_GB2312"/>
          <w:color w:val="auto"/>
          <w:sz w:val="28"/>
          <w:szCs w:val="28"/>
          <w:highlight w:val="none"/>
        </w:rPr>
        <w:t>经评价工作组评定，古塘电子商务项目专项资金绩效评价综合得分为</w:t>
      </w:r>
      <w:r>
        <w:rPr>
          <w:rFonts w:hint="eastAsia" w:ascii="仿宋_GB2312" w:hAnsi="宋体" w:eastAsia="仿宋_GB2312"/>
          <w:color w:val="auto"/>
          <w:sz w:val="28"/>
          <w:szCs w:val="28"/>
          <w:highlight w:val="none"/>
          <w:lang w:val="en-US" w:eastAsia="zh-CN"/>
        </w:rPr>
        <w:t>86</w:t>
      </w:r>
      <w:r>
        <w:rPr>
          <w:rFonts w:hint="eastAsia" w:ascii="仿宋_GB2312" w:hAnsi="宋体" w:eastAsia="仿宋_GB2312"/>
          <w:color w:val="auto"/>
          <w:sz w:val="28"/>
          <w:szCs w:val="28"/>
          <w:highlight w:val="none"/>
        </w:rPr>
        <w:t>分，绩效等级为良。</w:t>
      </w:r>
    </w:p>
    <w:tbl>
      <w:tblPr>
        <w:tblStyle w:val="6"/>
        <w:tblW w:w="8700" w:type="dxa"/>
        <w:tblInd w:w="96" w:type="dxa"/>
        <w:tblLayout w:type="fixed"/>
        <w:tblCellMar>
          <w:top w:w="0" w:type="dxa"/>
          <w:left w:w="108" w:type="dxa"/>
          <w:bottom w:w="0" w:type="dxa"/>
          <w:right w:w="108" w:type="dxa"/>
        </w:tblCellMar>
      </w:tblPr>
      <w:tblGrid>
        <w:gridCol w:w="779"/>
        <w:gridCol w:w="576"/>
        <w:gridCol w:w="1260"/>
        <w:gridCol w:w="624"/>
        <w:gridCol w:w="2076"/>
        <w:gridCol w:w="684"/>
        <w:gridCol w:w="641"/>
        <w:gridCol w:w="2060"/>
      </w:tblGrid>
      <w:tr>
        <w:tblPrEx>
          <w:tblCellMar>
            <w:top w:w="0" w:type="dxa"/>
            <w:left w:w="108" w:type="dxa"/>
            <w:bottom w:w="0" w:type="dxa"/>
            <w:right w:w="108" w:type="dxa"/>
          </w:tblCellMar>
        </w:tblPrEx>
        <w:trPr>
          <w:trHeight w:val="288" w:hRule="atLeast"/>
        </w:trPr>
        <w:tc>
          <w:tcPr>
            <w:tcW w:w="8700" w:type="dxa"/>
            <w:gridSpan w:val="8"/>
            <w:tcBorders>
              <w:top w:val="nil"/>
              <w:left w:val="nil"/>
              <w:bottom w:val="nil"/>
              <w:right w:val="nil"/>
            </w:tcBorders>
            <w:noWrap/>
            <w:vAlign w:val="center"/>
          </w:tcPr>
          <w:p>
            <w:pPr>
              <w:jc w:val="center"/>
              <w:textAlignment w:val="center"/>
              <w:rPr>
                <w:color w:val="auto"/>
                <w:sz w:val="22"/>
                <w:szCs w:val="22"/>
                <w:highlight w:val="none"/>
              </w:rPr>
            </w:pPr>
            <w:r>
              <w:rPr>
                <w:rFonts w:hint="eastAsia"/>
                <w:color w:val="auto"/>
                <w:sz w:val="22"/>
                <w:szCs w:val="22"/>
                <w:highlight w:val="none"/>
                <w:lang w:val="en-US" w:eastAsia="zh-CN" w:bidi="ar"/>
              </w:rPr>
              <w:t>古塘村电子商务</w:t>
            </w:r>
            <w:r>
              <w:rPr>
                <w:rFonts w:hint="eastAsia"/>
                <w:color w:val="auto"/>
                <w:sz w:val="22"/>
                <w:szCs w:val="22"/>
                <w:highlight w:val="none"/>
                <w:lang w:bidi="ar"/>
              </w:rPr>
              <w:t>项目评分体系和得分简表</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一级</w:t>
            </w:r>
          </w:p>
        </w:tc>
        <w:tc>
          <w:tcPr>
            <w:tcW w:w="5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分</w:t>
            </w:r>
          </w:p>
        </w:tc>
        <w:tc>
          <w:tcPr>
            <w:tcW w:w="12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二级</w:t>
            </w:r>
          </w:p>
        </w:tc>
        <w:tc>
          <w:tcPr>
            <w:tcW w:w="62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分</w:t>
            </w:r>
          </w:p>
        </w:tc>
        <w:tc>
          <w:tcPr>
            <w:tcW w:w="207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三级指标</w:t>
            </w:r>
          </w:p>
        </w:tc>
        <w:tc>
          <w:tcPr>
            <w:tcW w:w="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分</w:t>
            </w:r>
          </w:p>
        </w:tc>
        <w:tc>
          <w:tcPr>
            <w:tcW w:w="64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14:ligatures w14:val="standardContextual"/>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得分</w:t>
            </w:r>
          </w:p>
        </w:tc>
        <w:tc>
          <w:tcPr>
            <w:tcW w:w="20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14:ligatures w14:val="standardContextual"/>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失分原因</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指标</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值</w:t>
            </w:r>
          </w:p>
        </w:tc>
        <w:tc>
          <w:tcPr>
            <w:tcW w:w="2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14:ligatures w14:val="standardContextual"/>
              </w:rPr>
              <w:t>值</w:t>
            </w: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szCs w:val="20"/>
                <w:highlight w:val="none"/>
              </w:rPr>
            </w:pPr>
          </w:p>
        </w:tc>
        <w:tc>
          <w:tcPr>
            <w:tcW w:w="206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决策</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18</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项目立项</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6</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立项依据充分性</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立项程序规范性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绩效目标</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7</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绩效目标合理性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绩效指标的批复</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资金投入</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财政衔接资金明确性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其他配套资金明确性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过程</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30</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资金落实</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6</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资金到位率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eastAsia="宋体"/>
                <w:color w:val="auto"/>
                <w:sz w:val="20"/>
                <w:szCs w:val="20"/>
                <w:highlight w:val="none"/>
                <w:lang w:val="en-US" w:eastAsia="zh-CN"/>
              </w:rPr>
            </w:pPr>
            <w:r>
              <w:rPr>
                <w:rFonts w:hint="eastAsia"/>
                <w:color w:val="auto"/>
                <w:sz w:val="20"/>
                <w:szCs w:val="20"/>
                <w:highlight w:val="none"/>
                <w:lang w:val="en-US" w:eastAsia="zh-CN"/>
              </w:rPr>
              <w:t>1</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default" w:eastAsia="宋体"/>
                <w:color w:val="auto"/>
                <w:sz w:val="20"/>
                <w:szCs w:val="20"/>
                <w:highlight w:val="none"/>
                <w:lang w:val="en-US" w:eastAsia="zh-CN"/>
              </w:rPr>
            </w:pPr>
            <w:r>
              <w:rPr>
                <w:rFonts w:hint="eastAsia"/>
                <w:color w:val="auto"/>
                <w:sz w:val="20"/>
                <w:szCs w:val="20"/>
                <w:highlight w:val="none"/>
                <w:lang w:val="en-US" w:eastAsia="zh-CN"/>
              </w:rPr>
              <w:t>自筹资金140万元未见到位</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到位及时率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eastAsia="宋体"/>
                <w:color w:val="auto"/>
                <w:sz w:val="20"/>
                <w:szCs w:val="20"/>
                <w:highlight w:val="none"/>
                <w:lang w:val="en-US" w:eastAsia="zh-CN"/>
              </w:rPr>
            </w:pPr>
            <w:r>
              <w:rPr>
                <w:rFonts w:hint="eastAsia"/>
                <w:color w:val="auto"/>
                <w:sz w:val="20"/>
                <w:szCs w:val="20"/>
                <w:highlight w:val="none"/>
                <w:lang w:val="en-US" w:eastAsia="zh-CN"/>
              </w:rPr>
              <w:t>1</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eastAsia="宋体"/>
                <w:color w:val="auto"/>
                <w:sz w:val="20"/>
                <w:szCs w:val="20"/>
                <w:highlight w:val="none"/>
                <w:lang w:val="en-US" w:eastAsia="zh-CN"/>
              </w:rPr>
            </w:pPr>
            <w:r>
              <w:rPr>
                <w:rFonts w:hint="eastAsia"/>
                <w:color w:val="auto"/>
                <w:sz w:val="20"/>
                <w:szCs w:val="20"/>
                <w:highlight w:val="none"/>
                <w:lang w:val="en-US" w:eastAsia="zh-CN"/>
              </w:rPr>
              <w:t>自筹资金140万元未及时到位</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财务管理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9</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资金拨付方式是否规范</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资金使用合规性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财务监控有效性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业务管理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12</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管理制度健全性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未见执行监理</w:t>
            </w:r>
            <w:r>
              <w:rPr>
                <w:rFonts w:hint="eastAsia" w:ascii="宋体" w:hAnsi="宋体" w:cs="宋体"/>
                <w:i w:val="0"/>
                <w:iCs w:val="0"/>
                <w:color w:val="auto"/>
                <w:kern w:val="0"/>
                <w:sz w:val="20"/>
                <w:szCs w:val="20"/>
                <w:highlight w:val="none"/>
                <w:u w:val="none"/>
                <w:lang w:val="en-US" w:eastAsia="zh-CN" w:bidi="ar"/>
                <w14:ligatures w14:val="standardContextual"/>
              </w:rPr>
              <w:t>和结算审计制度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制度执行有效性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default"/>
                <w:color w:val="auto"/>
                <w:sz w:val="20"/>
                <w:szCs w:val="20"/>
                <w:highlight w:val="none"/>
                <w:lang w:val="en-US"/>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未见执行监理</w:t>
            </w:r>
            <w:r>
              <w:rPr>
                <w:rFonts w:hint="eastAsia" w:ascii="宋体" w:hAnsi="宋体" w:cs="宋体"/>
                <w:i w:val="0"/>
                <w:iCs w:val="0"/>
                <w:color w:val="auto"/>
                <w:kern w:val="0"/>
                <w:sz w:val="20"/>
                <w:szCs w:val="20"/>
                <w:highlight w:val="none"/>
                <w:u w:val="none"/>
                <w:lang w:val="en-US" w:eastAsia="zh-CN" w:bidi="ar"/>
                <w14:ligatures w14:val="standardContextual"/>
              </w:rPr>
              <w:t>和结算审计制度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项目质量可控性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档案管理</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档案规范性</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个别资料收集不齐全</w:t>
            </w: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25</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目标完成情况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18</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产出数量</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7</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6</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rFonts w:hint="default"/>
                <w:color w:val="auto"/>
                <w:sz w:val="20"/>
                <w:szCs w:val="20"/>
                <w:highlight w:val="none"/>
                <w:lang w:val="en-US"/>
              </w:rPr>
            </w:pPr>
            <w:r>
              <w:rPr>
                <w:rFonts w:hint="eastAsia" w:ascii="宋体" w:hAnsi="宋体" w:cs="宋体"/>
                <w:color w:val="auto"/>
                <w:sz w:val="20"/>
                <w:szCs w:val="20"/>
                <w:highlight w:val="none"/>
                <w:lang w:val="en-US" w:eastAsia="zh-CN"/>
              </w:rPr>
              <w:t>验收报告不齐全</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产出质量</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6</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5</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rFonts w:hint="default"/>
                <w:color w:val="auto"/>
                <w:sz w:val="20"/>
                <w:szCs w:val="20"/>
                <w:highlight w:val="none"/>
                <w:lang w:val="en-US"/>
              </w:rPr>
            </w:pPr>
            <w:r>
              <w:rPr>
                <w:rFonts w:hint="eastAsia" w:ascii="宋体" w:hAnsi="宋体" w:cs="宋体"/>
                <w:color w:val="auto"/>
                <w:sz w:val="20"/>
                <w:szCs w:val="20"/>
                <w:highlight w:val="none"/>
                <w:lang w:val="en-US" w:eastAsia="zh-CN"/>
              </w:rPr>
              <w:t>验收报告不齐全</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产出时效（项目完成及时率）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资金使用情况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7</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资金使用率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成本节约率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效果</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27</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社会经济效益</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17</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经济效益</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5</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5</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社会效益</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生态效益</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服务对象满意度</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4</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4</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可持续影响</w:t>
            </w: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7</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建后经营管理</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7</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cs="宋体"/>
                <w:i w:val="0"/>
                <w:iCs w:val="0"/>
                <w:color w:val="auto"/>
                <w:kern w:val="0"/>
                <w:sz w:val="20"/>
                <w:szCs w:val="20"/>
                <w:highlight w:val="none"/>
                <w:u w:val="none"/>
                <w:lang w:val="en-US" w:eastAsia="zh-CN" w:bidi="ar"/>
                <w14:ligatures w14:val="standardContextual"/>
              </w:rPr>
              <w:t>5</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未见管护制度</w:t>
            </w:r>
            <w:r>
              <w:rPr>
                <w:rFonts w:hint="eastAsia" w:ascii="宋体" w:hAnsi="宋体" w:cs="宋体"/>
                <w:i w:val="0"/>
                <w:iCs w:val="0"/>
                <w:color w:val="auto"/>
                <w:kern w:val="0"/>
                <w:sz w:val="20"/>
                <w:szCs w:val="20"/>
                <w:highlight w:val="none"/>
                <w:u w:val="none"/>
                <w:lang w:val="en-US" w:eastAsia="zh-CN" w:bidi="ar"/>
                <w14:ligatures w14:val="standardContextual"/>
              </w:rPr>
              <w:t>，</w:t>
            </w:r>
            <w:r>
              <w:rPr>
                <w:rFonts w:hint="eastAsia" w:ascii="宋体" w:hAnsi="宋体" w:eastAsia="宋体" w:cs="宋体"/>
                <w:i w:val="0"/>
                <w:iCs w:val="0"/>
                <w:color w:val="auto"/>
                <w:kern w:val="0"/>
                <w:sz w:val="20"/>
                <w:szCs w:val="20"/>
                <w:highlight w:val="none"/>
                <w:u w:val="none"/>
                <w:lang w:val="en-US" w:eastAsia="zh-CN" w:bidi="ar"/>
                <w14:ligatures w14:val="standardContextual"/>
              </w:rPr>
              <w:t>也未移交村级管理</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auto"/>
                <w:sz w:val="20"/>
                <w:szCs w:val="20"/>
                <w:highlight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3</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群众满意度</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14:ligatures w14:val="standardContextual"/>
              </w:rPr>
              <w:t>3</w:t>
            </w:r>
          </w:p>
        </w:tc>
        <w:tc>
          <w:tcPr>
            <w:tcW w:w="6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3</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总分</w:t>
            </w:r>
          </w:p>
        </w:tc>
        <w:tc>
          <w:tcPr>
            <w:tcW w:w="5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100</w:t>
            </w:r>
          </w:p>
        </w:tc>
        <w:tc>
          <w:tcPr>
            <w:tcW w:w="1260" w:type="dxa"/>
            <w:tcBorders>
              <w:top w:val="single" w:color="000000" w:sz="4" w:space="0"/>
              <w:left w:val="single" w:color="000000" w:sz="4" w:space="0"/>
              <w:bottom w:val="single" w:color="000000" w:sz="4" w:space="0"/>
              <w:right w:val="single" w:color="000000" w:sz="4" w:space="0"/>
            </w:tcBorders>
            <w:vAlign w:val="center"/>
          </w:tcPr>
          <w:p>
            <w:pPr>
              <w:jc w:val="left"/>
              <w:rPr>
                <w:color w:val="auto"/>
                <w:sz w:val="20"/>
                <w:szCs w:val="20"/>
                <w:highlight w:val="none"/>
              </w:rPr>
            </w:pPr>
          </w:p>
        </w:tc>
        <w:tc>
          <w:tcPr>
            <w:tcW w:w="6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100</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left"/>
              <w:rPr>
                <w:color w:val="auto"/>
                <w:sz w:val="20"/>
                <w:szCs w:val="20"/>
                <w:highlight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14:ligatures w14:val="standardContextual"/>
              </w:rPr>
              <w:t>100</w:t>
            </w:r>
          </w:p>
        </w:tc>
        <w:tc>
          <w:tcPr>
            <w:tcW w:w="6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eastAsia="宋体"/>
                <w:color w:val="auto"/>
                <w:sz w:val="20"/>
                <w:szCs w:val="20"/>
                <w:highlight w:val="none"/>
                <w:lang w:val="en-US" w:eastAsia="zh-CN"/>
              </w:rPr>
            </w:pPr>
            <w:r>
              <w:rPr>
                <w:rFonts w:hint="eastAsia"/>
                <w:color w:val="auto"/>
                <w:sz w:val="20"/>
                <w:szCs w:val="20"/>
                <w:highlight w:val="none"/>
                <w:lang w:val="en-US" w:eastAsia="zh-CN"/>
              </w:rPr>
              <w:t>86</w:t>
            </w:r>
          </w:p>
        </w:tc>
        <w:tc>
          <w:tcPr>
            <w:tcW w:w="2060" w:type="dxa"/>
            <w:tcBorders>
              <w:top w:val="single" w:color="000000" w:sz="4" w:space="0"/>
              <w:left w:val="single" w:color="000000" w:sz="4" w:space="0"/>
              <w:bottom w:val="single" w:color="000000" w:sz="4" w:space="0"/>
              <w:right w:val="single" w:color="000000" w:sz="4" w:space="0"/>
            </w:tcBorders>
            <w:noWrap/>
            <w:vAlign w:val="center"/>
          </w:tcPr>
          <w:p>
            <w:pPr>
              <w:rPr>
                <w:color w:val="auto"/>
                <w:sz w:val="20"/>
                <w:szCs w:val="20"/>
                <w:highlight w:val="none"/>
              </w:rPr>
            </w:pPr>
          </w:p>
        </w:tc>
      </w:tr>
    </w:tbl>
    <w:p>
      <w:pPr>
        <w:spacing w:line="300" w:lineRule="auto"/>
        <w:outlineLvl w:val="9"/>
        <w:rPr>
          <w:rFonts w:ascii="宋体" w:hAnsi="宋体" w:cs="宋体"/>
          <w:b/>
          <w:color w:val="auto"/>
          <w:kern w:val="0"/>
          <w:sz w:val="28"/>
          <w:szCs w:val="28"/>
          <w:highlight w:val="none"/>
        </w:rPr>
      </w:pPr>
    </w:p>
    <w:p>
      <w:pPr>
        <w:spacing w:line="300" w:lineRule="auto"/>
        <w:ind w:firstLine="562" w:firstLineChars="200"/>
        <w:outlineLvl w:val="9"/>
        <w:rPr>
          <w:rFonts w:ascii="仿宋_GB2312"/>
          <w:b/>
          <w:color w:val="auto"/>
          <w:sz w:val="28"/>
          <w:szCs w:val="28"/>
          <w:highlight w:val="none"/>
        </w:rPr>
      </w:pPr>
      <w:bookmarkStart w:id="8" w:name="_Toc22470"/>
      <w:r>
        <w:rPr>
          <w:rFonts w:hint="eastAsia" w:ascii="宋体" w:hAnsi="宋体" w:cs="宋体"/>
          <w:b/>
          <w:color w:val="auto"/>
          <w:kern w:val="0"/>
          <w:sz w:val="28"/>
          <w:szCs w:val="28"/>
          <w:highlight w:val="none"/>
        </w:rPr>
        <w:t>（二）</w:t>
      </w:r>
      <w:r>
        <w:rPr>
          <w:rFonts w:hint="eastAsia" w:ascii="仿宋_GB2312"/>
          <w:b/>
          <w:color w:val="auto"/>
          <w:sz w:val="28"/>
          <w:szCs w:val="28"/>
          <w:highlight w:val="none"/>
        </w:rPr>
        <w:t>主要结论</w:t>
      </w:r>
      <w:bookmarkEnd w:id="8"/>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通过对古塘电子商务项目专项资金在投入、过程、产出和效果等方面的综合评价，得出如下结论：</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1、古塘电子商务项目的立项，符合国家乡村振兴政策，特别是依托电子商务的平台，契合古塘村电商产业的实际情况。项目所设定的绩效目标依据充分，符合客观事实；根据绩效目标设定的绩效指标较为明确。</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2、项目在工程管理、资金拨付等方面，基本符合国家政策要求。特别是项目资金严格实行专款专用，项目资金拨付和使用合法、规范。</w:t>
      </w:r>
    </w:p>
    <w:p>
      <w:pPr>
        <w:widowControl/>
        <w:spacing w:line="300" w:lineRule="auto"/>
        <w:ind w:firstLine="703" w:firstLineChars="250"/>
        <w:jc w:val="left"/>
        <w:outlineLvl w:val="9"/>
        <w:rPr>
          <w:rFonts w:hint="eastAsia" w:ascii="黑体" w:hAnsi="黑体" w:eastAsia="黑体" w:cs="黑体"/>
          <w:b/>
          <w:bCs/>
          <w:color w:val="auto"/>
          <w:kern w:val="0"/>
          <w:sz w:val="28"/>
          <w:szCs w:val="28"/>
          <w:highlight w:val="none"/>
        </w:rPr>
      </w:pPr>
      <w:bookmarkStart w:id="9" w:name="_Toc18253"/>
      <w:r>
        <w:rPr>
          <w:rFonts w:hint="eastAsia" w:ascii="宋体" w:hAnsi="宋体" w:eastAsia="宋体" w:cs="宋体"/>
          <w:b/>
          <w:bCs/>
          <w:color w:val="auto"/>
          <w:kern w:val="0"/>
          <w:sz w:val="28"/>
          <w:szCs w:val="28"/>
          <w:highlight w:val="none"/>
        </w:rPr>
        <w:t>三、项目</w:t>
      </w:r>
      <w:r>
        <w:rPr>
          <w:rFonts w:hint="eastAsia" w:ascii="宋体" w:hAnsi="宋体" w:eastAsia="宋体" w:cs="宋体"/>
          <w:b/>
          <w:color w:val="auto"/>
          <w:sz w:val="28"/>
          <w:szCs w:val="28"/>
          <w:highlight w:val="none"/>
        </w:rPr>
        <w:t>主要经验、存在的问题和建议</w:t>
      </w:r>
      <w:bookmarkEnd w:id="9"/>
    </w:p>
    <w:p>
      <w:pPr>
        <w:widowControl/>
        <w:spacing w:line="300" w:lineRule="auto"/>
        <w:ind w:firstLine="540" w:firstLineChars="192"/>
        <w:jc w:val="left"/>
        <w:outlineLvl w:val="9"/>
        <w:rPr>
          <w:rFonts w:ascii="仿宋_GB2312"/>
          <w:b/>
          <w:color w:val="auto"/>
          <w:sz w:val="28"/>
          <w:szCs w:val="28"/>
          <w:highlight w:val="none"/>
        </w:rPr>
      </w:pPr>
      <w:bookmarkStart w:id="10" w:name="_Toc3042"/>
      <w:r>
        <w:rPr>
          <w:rFonts w:hint="eastAsia" w:ascii="宋体" w:hAnsi="宋体" w:cs="宋体"/>
          <w:b/>
          <w:bCs/>
          <w:color w:val="auto"/>
          <w:kern w:val="0"/>
          <w:sz w:val="28"/>
          <w:szCs w:val="28"/>
          <w:highlight w:val="none"/>
        </w:rPr>
        <w:t>（一）</w:t>
      </w:r>
      <w:r>
        <w:rPr>
          <w:rFonts w:hint="eastAsia" w:ascii="仿宋_GB2312"/>
          <w:b/>
          <w:color w:val="auto"/>
          <w:sz w:val="28"/>
          <w:szCs w:val="28"/>
          <w:highlight w:val="none"/>
        </w:rPr>
        <w:t>主要经验和做法</w:t>
      </w:r>
      <w:bookmarkEnd w:id="10"/>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项目申报程序规范（指乡村振兴申报程序）。在申报古塘电子商务项目前，古塘村严格执行了“四议两公开”的程序，让项目获得了群众极大的认同感，有广泛的群众基础。且经过“两上两下”的流程，让项目获得财政衔接资金符合国家的产业政策。</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2、临空区财金局高度重视项目绩效管理。对杨叶镇上报的项目绩效进行审核和批复，并按规定进行公示，确保项目绩效设置比较合理、方便考核。</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3、项目单位按照《实施方案》的要求，规范实施程序。古塘电子商务项目得到区级批复后，古塘村立即启动项目建设，选择施工队伍，先后与</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个单位签订施工合同。</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4、四是逐层申报项目资金。项目实施过程中，采取“村申请、乡审核、区主管部门申报、管委会批准”的方式，下拨项目资金，确保资金按进度拨付，按渠道使用。</w:t>
      </w:r>
    </w:p>
    <w:p>
      <w:pPr>
        <w:widowControl/>
        <w:spacing w:line="300" w:lineRule="auto"/>
        <w:ind w:firstLine="540" w:firstLineChars="192"/>
        <w:jc w:val="left"/>
        <w:outlineLvl w:val="9"/>
        <w:rPr>
          <w:rFonts w:ascii="宋体" w:hAnsi="宋体" w:cs="宋体"/>
          <w:b/>
          <w:bCs/>
          <w:color w:val="auto"/>
          <w:kern w:val="0"/>
          <w:sz w:val="28"/>
          <w:szCs w:val="28"/>
          <w:highlight w:val="none"/>
        </w:rPr>
      </w:pPr>
      <w:bookmarkStart w:id="11" w:name="_Toc13403"/>
      <w:r>
        <w:rPr>
          <w:rFonts w:hint="eastAsia" w:ascii="仿宋_GB2312"/>
          <w:b/>
          <w:color w:val="auto"/>
          <w:sz w:val="28"/>
          <w:szCs w:val="28"/>
          <w:highlight w:val="none"/>
        </w:rPr>
        <w:t>（二）</w:t>
      </w:r>
      <w:r>
        <w:rPr>
          <w:rFonts w:hint="eastAsia" w:ascii="宋体" w:hAnsi="宋体" w:cs="宋体"/>
          <w:b/>
          <w:bCs/>
          <w:color w:val="auto"/>
          <w:kern w:val="0"/>
          <w:sz w:val="28"/>
          <w:szCs w:val="28"/>
          <w:highlight w:val="none"/>
        </w:rPr>
        <w:t>存在的主要问题</w:t>
      </w:r>
      <w:bookmarkEnd w:id="11"/>
    </w:p>
    <w:p>
      <w:pPr>
        <w:widowControl/>
        <w:spacing w:line="300" w:lineRule="auto"/>
        <w:ind w:firstLine="537" w:firstLineChars="192"/>
        <w:jc w:val="both"/>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1、项目投资可能不实。</w:t>
      </w:r>
      <w:r>
        <w:rPr>
          <w:rFonts w:hint="eastAsia" w:ascii="仿宋_GB2312" w:hAnsi="宋体" w:eastAsia="仿宋_GB2312"/>
          <w:color w:val="auto"/>
          <w:sz w:val="28"/>
          <w:szCs w:val="28"/>
          <w:highlight w:val="none"/>
        </w:rPr>
        <w:t>古塘村电子商务项目申报投资1</w:t>
      </w:r>
      <w:r>
        <w:rPr>
          <w:rFonts w:ascii="仿宋_GB2312" w:hAnsi="宋体" w:eastAsia="仿宋_GB2312"/>
          <w:color w:val="auto"/>
          <w:sz w:val="28"/>
          <w:szCs w:val="28"/>
          <w:highlight w:val="none"/>
        </w:rPr>
        <w:t>,700,000.00</w:t>
      </w:r>
      <w:r>
        <w:rPr>
          <w:rFonts w:hint="eastAsia" w:ascii="仿宋_GB2312" w:hAnsi="宋体" w:eastAsia="仿宋_GB2312"/>
          <w:color w:val="auto"/>
          <w:sz w:val="28"/>
          <w:szCs w:val="28"/>
          <w:highlight w:val="none"/>
        </w:rPr>
        <w:t>元，其中：财政衔接资金300,000.00元，其他资金1,400,000.00元。经</w:t>
      </w:r>
      <w:r>
        <w:rPr>
          <w:rFonts w:hint="eastAsia" w:ascii="仿宋_GB2312" w:hAnsi="宋体" w:eastAsia="仿宋_GB2312"/>
          <w:color w:val="auto"/>
          <w:sz w:val="28"/>
          <w:szCs w:val="28"/>
          <w:highlight w:val="none"/>
          <w:lang w:val="en-US" w:eastAsia="zh-CN"/>
        </w:rPr>
        <w:t>审查</w:t>
      </w:r>
      <w:r>
        <w:rPr>
          <w:rFonts w:hint="eastAsia" w:ascii="仿宋_GB2312" w:hAnsi="宋体" w:eastAsia="仿宋_GB2312"/>
          <w:color w:val="auto"/>
          <w:sz w:val="28"/>
          <w:szCs w:val="28"/>
          <w:highlight w:val="none"/>
        </w:rPr>
        <w:t>发现：</w:t>
      </w:r>
      <w:r>
        <w:rPr>
          <w:rFonts w:hint="eastAsia" w:ascii="仿宋_GB2312" w:hAnsi="宋体" w:eastAsia="仿宋_GB2312"/>
          <w:color w:val="auto"/>
          <w:sz w:val="28"/>
          <w:szCs w:val="28"/>
          <w:highlight w:val="none"/>
          <w:lang w:val="en-US" w:eastAsia="zh-CN"/>
        </w:rPr>
        <w:t>该项目</w:t>
      </w:r>
      <w:r>
        <w:rPr>
          <w:rFonts w:hint="eastAsia" w:ascii="仿宋_GB2312" w:hAnsi="宋体" w:eastAsia="仿宋_GB2312"/>
          <w:color w:val="auto"/>
          <w:sz w:val="28"/>
          <w:szCs w:val="28"/>
          <w:highlight w:val="none"/>
        </w:rPr>
        <w:t>实际与</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个单位签订了合同</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合同金额1,843,810.00元。具体明细如下：一是鄂州奥淇广告装饰有限公司合同金额324,920.00元，审核报告金额188,487.95元，已支付金额150,000.00元；湖北省鄂州市裕意商贸有限公司合同金额161,890.00元，虽未见结算审核报告，但有验收报告且已支付150,000.00元；湖北民佳建设工程有限公司合同金额1,357,000.00元，未见结算审核报告，也未见拨付金额，无法确定实际投资金额。</w:t>
      </w:r>
    </w:p>
    <w:p>
      <w:pPr>
        <w:widowControl/>
        <w:spacing w:line="300" w:lineRule="auto"/>
        <w:ind w:firstLine="537" w:firstLineChars="192"/>
        <w:jc w:val="left"/>
        <w:rPr>
          <w:rFonts w:hint="default" w:ascii="仿宋_GB2312" w:hAnsi="宋体" w:eastAsia="仿宋_GB2312"/>
          <w:color w:val="auto"/>
          <w:sz w:val="28"/>
          <w:szCs w:val="28"/>
          <w:highlight w:val="none"/>
          <w:lang w:val="en-US"/>
        </w:rPr>
      </w:pP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工程验收手续不齐全。古塘村电子商务项目，验收手续不齐全，其中：鄂州市裕意商贸有限公司的验收报告，只有1人签字。</w:t>
      </w:r>
      <w:r>
        <w:rPr>
          <w:rFonts w:hint="eastAsia" w:ascii="仿宋_GB2312" w:hAnsi="宋体" w:eastAsia="仿宋_GB2312"/>
          <w:color w:val="auto"/>
          <w:sz w:val="28"/>
          <w:szCs w:val="28"/>
          <w:highlight w:val="none"/>
          <w:lang w:val="en-US" w:eastAsia="zh-CN"/>
        </w:rPr>
        <w:t>湖北民佳建设工程有限公司的装饰装修工程，未见任何手续。</w:t>
      </w:r>
    </w:p>
    <w:p>
      <w:pPr>
        <w:widowControl/>
        <w:spacing w:line="300" w:lineRule="auto"/>
        <w:ind w:firstLine="540" w:firstLineChars="192"/>
        <w:jc w:val="left"/>
        <w:outlineLvl w:val="9"/>
        <w:rPr>
          <w:rFonts w:ascii="仿宋_GB2312" w:hAnsi="宋体" w:eastAsia="仿宋_GB2312"/>
          <w:color w:val="auto"/>
          <w:sz w:val="28"/>
          <w:szCs w:val="28"/>
          <w:highlight w:val="none"/>
        </w:rPr>
      </w:pPr>
      <w:bookmarkStart w:id="12" w:name="_Toc2361"/>
      <w:r>
        <w:rPr>
          <w:rFonts w:hint="eastAsia" w:ascii="宋体" w:hAnsi="宋体" w:cs="宋体"/>
          <w:b/>
          <w:bCs/>
          <w:color w:val="auto"/>
          <w:kern w:val="0"/>
          <w:sz w:val="28"/>
          <w:szCs w:val="28"/>
          <w:highlight w:val="none"/>
        </w:rPr>
        <w:t>（三）建议及改进措施</w:t>
      </w:r>
      <w:bookmarkEnd w:id="12"/>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1、及时完成竣工结算审计金额，夯实项目投资，也便于考核其他资金的到位情况。</w:t>
      </w:r>
    </w:p>
    <w:p>
      <w:pPr>
        <w:widowControl/>
        <w:spacing w:line="300" w:lineRule="auto"/>
        <w:ind w:firstLine="537" w:firstLineChars="192"/>
        <w:jc w:val="left"/>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2、对于项目采购或者施工，均应按项目管理要求，及时组织验收程序。</w:t>
      </w:r>
    </w:p>
    <w:p>
      <w:pPr>
        <w:widowControl/>
        <w:spacing w:line="300" w:lineRule="auto"/>
        <w:ind w:firstLine="537" w:firstLineChars="192"/>
        <w:jc w:val="left"/>
        <w:rPr>
          <w:rFonts w:hint="eastAsia" w:ascii="仿宋_GB2312" w:hAnsi="宋体" w:eastAsia="仿宋_GB2312"/>
          <w:color w:val="auto"/>
          <w:sz w:val="28"/>
          <w:szCs w:val="28"/>
          <w:highlight w:val="none"/>
        </w:rPr>
      </w:pPr>
    </w:p>
    <w:p>
      <w:pPr>
        <w:widowControl/>
        <w:spacing w:line="300" w:lineRule="auto"/>
        <w:ind w:firstLine="537" w:firstLineChars="192"/>
        <w:jc w:val="left"/>
        <w:rPr>
          <w:rFonts w:hint="eastAsia" w:ascii="仿宋_GB2312" w:hAnsi="宋体" w:eastAsia="仿宋_GB2312"/>
          <w:color w:val="auto"/>
          <w:sz w:val="28"/>
          <w:szCs w:val="28"/>
          <w:highlight w:val="none"/>
        </w:rPr>
      </w:pPr>
    </w:p>
    <w:p>
      <w:pPr>
        <w:widowControl/>
        <w:spacing w:line="300" w:lineRule="auto"/>
        <w:ind w:firstLine="537" w:firstLineChars="192"/>
        <w:jc w:val="left"/>
        <w:rPr>
          <w:rFonts w:hint="eastAsia" w:ascii="仿宋_GB2312" w:hAnsi="宋体" w:eastAsia="仿宋_GB2312"/>
          <w:color w:val="auto"/>
          <w:sz w:val="28"/>
          <w:szCs w:val="28"/>
          <w:highlight w:val="none"/>
        </w:rPr>
      </w:pPr>
    </w:p>
    <w:p>
      <w:pPr>
        <w:widowControl/>
        <w:spacing w:line="300" w:lineRule="auto"/>
        <w:ind w:firstLine="537" w:firstLineChars="192"/>
        <w:jc w:val="left"/>
        <w:rPr>
          <w:rFonts w:hint="eastAsia" w:ascii="仿宋_GB2312" w:hAnsi="宋体" w:eastAsia="仿宋_GB2312"/>
          <w:color w:val="auto"/>
          <w:sz w:val="28"/>
          <w:szCs w:val="28"/>
          <w:highlight w:val="none"/>
        </w:rPr>
      </w:pPr>
    </w:p>
    <w:p>
      <w:pPr>
        <w:widowControl/>
        <w:spacing w:line="300" w:lineRule="auto"/>
        <w:ind w:firstLine="3057" w:firstLineChars="1092"/>
        <w:jc w:val="left"/>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湖北众信会计师事务有限公司</w:t>
      </w:r>
    </w:p>
    <w:p>
      <w:pPr>
        <w:widowControl/>
        <w:spacing w:line="300" w:lineRule="auto"/>
        <w:ind w:firstLine="3897" w:firstLineChars="1392"/>
        <w:jc w:val="left"/>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2024年3月31日</w:t>
      </w:r>
    </w:p>
    <w:p>
      <w:pPr>
        <w:pStyle w:val="2"/>
        <w:tabs>
          <w:tab w:val="left" w:pos="830"/>
        </w:tabs>
        <w:jc w:val="left"/>
        <w:rPr>
          <w:rFonts w:hint="eastAsia" w:eastAsiaTheme="majorEastAsia"/>
          <w:lang w:eastAsia="zh-CN"/>
        </w:rPr>
      </w:pPr>
    </w:p>
    <w:p/>
    <w:sectPr>
      <w:headerReference r:id="rId4" w:type="default"/>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0"/>
      </w:pBdr>
      <w:jc w:val="right"/>
    </w:pPr>
    <w:r>
      <w:rPr>
        <w:rFonts w:hint="eastAsia"/>
        <w:lang w:val="en-US" w:eastAsia="zh-CN"/>
      </w:rPr>
      <w:t>古塘村电子商务平台项目</w:t>
    </w:r>
    <w:r>
      <w:rPr>
        <w:rFonts w:hint="eastAsia"/>
      </w:rPr>
      <w:t>乡村振兴衔接资金绩效评价报告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0"/>
      </w:pBdr>
      <w:jc w:val="right"/>
    </w:pPr>
    <w:r>
      <w:rPr>
        <w:rFonts w:hint="eastAsia"/>
        <w:lang w:val="en-US" w:eastAsia="zh-CN"/>
      </w:rPr>
      <w:t>古塘村电子商务平台项目财政</w:t>
    </w:r>
    <w:r>
      <w:rPr>
        <w:rFonts w:hint="eastAsia"/>
      </w:rPr>
      <w:t>衔接资金绩效评价报告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C339F8"/>
    <w:multiLevelType w:val="multilevel"/>
    <w:tmpl w:val="05C339F8"/>
    <w:lvl w:ilvl="0" w:tentative="0">
      <w:start w:val="4"/>
      <w:numFmt w:val="japaneseCounting"/>
      <w:lvlText w:val="（%1）"/>
      <w:lvlJc w:val="left"/>
      <w:pPr>
        <w:ind w:left="1432" w:hanging="87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000000"/>
    <w:rsid w:val="06A05E20"/>
    <w:rsid w:val="0C523489"/>
    <w:rsid w:val="114333A1"/>
    <w:rsid w:val="12AF4365"/>
    <w:rsid w:val="1D725739"/>
    <w:rsid w:val="20AE62E6"/>
    <w:rsid w:val="2F4131BE"/>
    <w:rsid w:val="41FD1C38"/>
    <w:rsid w:val="430B346F"/>
    <w:rsid w:val="5D1C02FB"/>
    <w:rsid w:val="60426C9B"/>
    <w:rsid w:val="64C64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rFonts w:ascii="Calibri" w:hAnsi="Calibri"/>
      <w:b/>
      <w:bCs/>
      <w:kern w:val="44"/>
      <w:sz w:val="44"/>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after="60"/>
      <w:jc w:val="center"/>
      <w:outlineLvl w:val="0"/>
    </w:pPr>
    <w:rPr>
      <w:rFonts w:asciiTheme="majorHAnsi" w:hAnsiTheme="majorHAnsi" w:eastAsiaTheme="majorEastAsia" w:cstheme="majorBidi"/>
      <w:b/>
      <w:bCs/>
      <w:sz w:val="32"/>
      <w:szCs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unhideWhenUsed/>
    <w:qFormat/>
    <w:uiPriority w:val="99"/>
    <w:pPr>
      <w:tabs>
        <w:tab w:val="center" w:pos="4153"/>
        <w:tab w:val="right" w:pos="8306"/>
      </w:tabs>
      <w:snapToGrid w:val="0"/>
      <w:jc w:val="center"/>
    </w:pPr>
    <w:rPr>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2024-04-13T11:39:00Z</dcterms:created>
  <dc:creator>HUAWEI</dc:creator>
  <cp:lastModifiedBy>Ou</cp:lastModifiedBy>
  <dcterms:modified xsi:type="dcterms:W3CDTF">2024-04-14T04:23:52Z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70E0A0674AC1491C982786E8F5C15D47_12</vt:lpwstr>
  </property>
</Properties>
</file>