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outlineLvl w:val="9"/>
        <w:rPr>
          <w:rFonts w:ascii="宋体" w:hAnsi="宋体"/>
          <w:color w:val="auto"/>
          <w:sz w:val="52"/>
          <w:szCs w:val="52"/>
          <w:highlight w:val="none"/>
        </w:rPr>
      </w:pPr>
      <w:bookmarkStart w:id="3" w:name="_GoBack"/>
      <w:bookmarkEnd w:id="3"/>
      <w:r>
        <w:rPr>
          <w:rFonts w:hint="eastAsia" w:ascii="宋体" w:hAnsi="宋体"/>
          <w:color w:val="auto"/>
          <w:sz w:val="52"/>
          <w:szCs w:val="52"/>
          <w:highlight w:val="none"/>
        </w:rPr>
        <w:t>临空经济区</w:t>
      </w:r>
      <w:r>
        <w:rPr>
          <w:rFonts w:hint="eastAsia" w:ascii="宋体" w:hAnsi="宋体"/>
          <w:color w:val="auto"/>
          <w:sz w:val="52"/>
          <w:szCs w:val="52"/>
          <w:highlight w:val="none"/>
          <w:lang w:val="en-US" w:eastAsia="zh-CN"/>
        </w:rPr>
        <w:t>财政</w:t>
      </w:r>
      <w:r>
        <w:rPr>
          <w:rFonts w:hint="eastAsia" w:ascii="宋体" w:hAnsi="宋体"/>
          <w:color w:val="auto"/>
          <w:sz w:val="52"/>
          <w:szCs w:val="52"/>
          <w:highlight w:val="none"/>
        </w:rPr>
        <w:t>衔接资金项目</w:t>
      </w:r>
    </w:p>
    <w:p>
      <w:pPr>
        <w:spacing w:line="300" w:lineRule="auto"/>
        <w:jc w:val="center"/>
        <w:rPr>
          <w:rFonts w:ascii="黑体" w:hAnsi="黑体" w:eastAsia="黑体"/>
          <w:b/>
          <w:color w:val="auto"/>
          <w:sz w:val="72"/>
          <w:szCs w:val="72"/>
          <w:highlight w:val="none"/>
        </w:rPr>
      </w:pPr>
      <w:r>
        <w:rPr>
          <w:rFonts w:hint="eastAsia" w:ascii="黑体" w:hAnsi="黑体" w:eastAsia="黑体"/>
          <w:b/>
          <w:color w:val="auto"/>
          <w:sz w:val="72"/>
          <w:szCs w:val="72"/>
          <w:highlight w:val="none"/>
        </w:rPr>
        <w:t>绩效评价报告</w:t>
      </w:r>
    </w:p>
    <w:p>
      <w:pPr>
        <w:tabs>
          <w:tab w:val="left" w:pos="615"/>
        </w:tabs>
        <w:spacing w:line="300" w:lineRule="auto"/>
        <w:jc w:val="center"/>
        <w:rPr>
          <w:rFonts w:hint="eastAsia" w:ascii="黑体" w:hAnsi="黑体" w:eastAsia="黑体" w:cs="黑体"/>
          <w:color w:val="auto"/>
          <w:sz w:val="40"/>
          <w:szCs w:val="40"/>
          <w:highlight w:val="none"/>
        </w:rPr>
      </w:pPr>
      <w:r>
        <w:rPr>
          <w:rFonts w:hint="eastAsia" w:ascii="黑体" w:hAnsi="黑体" w:eastAsia="黑体" w:cs="黑体"/>
          <w:color w:val="auto"/>
          <w:sz w:val="40"/>
          <w:szCs w:val="40"/>
          <w:highlight w:val="none"/>
          <w:lang w:val="en-US" w:eastAsia="zh-CN"/>
        </w:rPr>
        <w:t>（精简版）</w:t>
      </w: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ind w:firstLine="1968" w:firstLineChars="700"/>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rPr>
        <w:t>项目名称：</w:t>
      </w:r>
      <w:r>
        <w:rPr>
          <w:rFonts w:hint="eastAsia" w:ascii="宋体" w:hAnsi="宋体" w:eastAsia="宋体" w:cs="宋体"/>
          <w:b/>
          <w:color w:val="auto"/>
          <w:sz w:val="28"/>
          <w:szCs w:val="28"/>
          <w:highlight w:val="none"/>
          <w:lang w:val="en-US" w:eastAsia="zh-CN"/>
        </w:rPr>
        <w:t>赵寨村红道驿站</w:t>
      </w:r>
    </w:p>
    <w:p>
      <w:pPr>
        <w:tabs>
          <w:tab w:val="left" w:pos="615"/>
        </w:tabs>
        <w:spacing w:line="300" w:lineRule="auto"/>
        <w:ind w:firstLine="1968" w:firstLineChars="700"/>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rPr>
        <w:t>项目单位：鄂州市临空经</w:t>
      </w:r>
      <w:r>
        <w:rPr>
          <w:rFonts w:hint="eastAsia" w:ascii="宋体" w:hAnsi="宋体" w:eastAsia="宋体" w:cs="宋体"/>
          <w:b/>
          <w:color w:val="auto"/>
          <w:sz w:val="28"/>
          <w:szCs w:val="28"/>
          <w:highlight w:val="none"/>
          <w:lang w:val="en-US" w:eastAsia="zh-CN"/>
        </w:rPr>
        <w:t>济区沙窝乡赵寨村</w:t>
      </w:r>
    </w:p>
    <w:p>
      <w:pPr>
        <w:tabs>
          <w:tab w:val="left" w:pos="615"/>
        </w:tabs>
        <w:spacing w:line="300" w:lineRule="auto"/>
        <w:ind w:firstLine="1968" w:firstLineChars="700"/>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主管部门：鄂州市临空经济区沙窝乡</w:t>
      </w:r>
    </w:p>
    <w:p>
      <w:pPr>
        <w:tabs>
          <w:tab w:val="left" w:pos="615"/>
        </w:tabs>
        <w:spacing w:line="300" w:lineRule="auto"/>
        <w:ind w:firstLine="1968" w:firstLineChars="700"/>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评价机构：湖北众信会计师事务有限公司</w:t>
      </w:r>
    </w:p>
    <w:p>
      <w:pPr>
        <w:spacing w:line="300" w:lineRule="auto"/>
        <w:ind w:firstLine="1968" w:firstLineChars="700"/>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报告文号：湖众信绩评字[202</w:t>
      </w: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]00</w:t>
      </w:r>
      <w:r>
        <w:rPr>
          <w:rFonts w:hint="eastAsia" w:ascii="宋体" w:hAnsi="宋体" w:eastAsia="宋体" w:cs="宋体"/>
          <w:b/>
          <w:color w:val="auto"/>
          <w:sz w:val="28"/>
          <w:szCs w:val="28"/>
          <w:highlight w:val="none"/>
          <w:lang w:val="en-US" w:eastAsia="zh-CN"/>
        </w:rPr>
        <w:t>7</w:t>
      </w:r>
      <w:r>
        <w:rPr>
          <w:rFonts w:hint="eastAsia" w:ascii="宋体" w:hAnsi="宋体" w:eastAsia="宋体" w:cs="宋体"/>
          <w:b/>
          <w:color w:val="auto"/>
          <w:sz w:val="28"/>
          <w:szCs w:val="28"/>
          <w:highlight w:val="none"/>
        </w:rPr>
        <w:t>号</w:t>
      </w:r>
    </w:p>
    <w:p>
      <w:pPr>
        <w:widowControl/>
        <w:spacing w:line="300" w:lineRule="auto"/>
        <w:ind w:firstLine="551" w:firstLineChars="196"/>
        <w:jc w:val="left"/>
        <w:rPr>
          <w:rFonts w:ascii="宋体" w:hAnsi="宋体" w:cs="宋体"/>
          <w:b/>
          <w:bCs/>
          <w:color w:val="auto"/>
          <w:kern w:val="0"/>
          <w:sz w:val="28"/>
          <w:szCs w:val="28"/>
          <w:highlight w:val="none"/>
        </w:rPr>
      </w:pPr>
    </w:p>
    <w:p>
      <w:pPr>
        <w:tabs>
          <w:tab w:val="left" w:pos="615"/>
        </w:tabs>
        <w:spacing w:line="300" w:lineRule="auto"/>
        <w:ind w:firstLine="703" w:firstLineChars="250"/>
        <w:rPr>
          <w:b/>
          <w:color w:val="auto"/>
          <w:sz w:val="28"/>
          <w:szCs w:val="28"/>
          <w:highlight w:val="none"/>
        </w:rPr>
      </w:pPr>
    </w:p>
    <w:p>
      <w:pPr>
        <w:tabs>
          <w:tab w:val="left" w:pos="615"/>
        </w:tabs>
        <w:spacing w:line="300" w:lineRule="auto"/>
        <w:jc w:val="both"/>
        <w:rPr>
          <w:color w:val="auto"/>
          <w:highlight w:val="none"/>
        </w:rPr>
      </w:pPr>
    </w:p>
    <w:p>
      <w:pPr>
        <w:spacing w:before="156" w:beforeLines="50" w:line="300" w:lineRule="auto"/>
        <w:ind w:firstLine="5060" w:firstLineChars="18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202</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年</w:t>
      </w:r>
      <w:r>
        <w:rPr>
          <w:rFonts w:hint="eastAsia" w:ascii="宋体" w:hAnsi="宋体" w:eastAsia="宋体" w:cs="宋体"/>
          <w:b/>
          <w:bCs/>
          <w:color w:val="auto"/>
          <w:sz w:val="28"/>
          <w:szCs w:val="28"/>
          <w:highlight w:val="none"/>
          <w:lang w:val="en-US" w:eastAsia="zh-CN"/>
        </w:rPr>
        <w:t>3</w:t>
      </w:r>
      <w:r>
        <w:rPr>
          <w:rFonts w:hint="eastAsia" w:ascii="宋体" w:hAnsi="宋体" w:eastAsia="宋体" w:cs="宋体"/>
          <w:b/>
          <w:bCs/>
          <w:color w:val="auto"/>
          <w:sz w:val="28"/>
          <w:szCs w:val="28"/>
          <w:highlight w:val="none"/>
        </w:rPr>
        <w:t>月</w:t>
      </w:r>
    </w:p>
    <w:p>
      <w:pPr>
        <w:pStyle w:val="2"/>
        <w:outlineLvl w:val="9"/>
        <w:rPr>
          <w:b/>
          <w:bCs/>
          <w:color w:val="auto"/>
          <w:sz w:val="28"/>
          <w:szCs w:val="28"/>
          <w:highlight w:val="none"/>
        </w:rPr>
      </w:pPr>
    </w:p>
    <w:p>
      <w:pPr>
        <w:rPr>
          <w:b/>
          <w:bCs/>
          <w:color w:val="auto"/>
          <w:sz w:val="28"/>
          <w:szCs w:val="28"/>
          <w:highlight w:val="none"/>
        </w:rPr>
      </w:pPr>
    </w:p>
    <w:p>
      <w:pPr>
        <w:spacing w:before="0" w:beforeLines="0" w:after="0" w:afterLines="0" w:line="240" w:lineRule="auto"/>
        <w:ind w:left="0" w:leftChars="0" w:right="0" w:rightChars="0" w:firstLine="0" w:firstLineChars="0"/>
        <w:jc w:val="center"/>
      </w:pPr>
      <w:sdt>
        <w:sdtPr>
          <w:rPr>
            <w:rFonts w:ascii="宋体" w:hAnsi="宋体" w:eastAsia="宋体" w:cs="Times New Roman"/>
            <w:color w:val="auto"/>
            <w:kern w:val="2"/>
            <w:sz w:val="21"/>
            <w:szCs w:val="24"/>
            <w:highlight w:val="none"/>
            <w:lang w:val="en-US" w:eastAsia="zh-CN" w:bidi="ar-SA"/>
          </w:rPr>
          <w:id w:val="25197897"/>
          <w:showingPlcHdr/>
          <w15:color w:val="DBDBDB"/>
          <w:docPartObj>
            <w:docPartGallery w:val="Table of Contents"/>
            <w:docPartUnique/>
          </w:docPartObj>
        </w:sdtPr>
        <w:sdtEndPr>
          <w:rPr>
            <w:rFonts w:asciiTheme="majorHAnsi" w:hAnsiTheme="majorHAnsi" w:eastAsiaTheme="majorEastAsia" w:cstheme="majorBidi"/>
            <w:b/>
            <w:bCs/>
            <w:color w:val="auto"/>
            <w:kern w:val="2"/>
            <w:sz w:val="32"/>
            <w:szCs w:val="32"/>
            <w:highlight w:val="none"/>
            <w:lang w:val="en-US" w:eastAsia="zh-CN" w:bidi="ar-SA"/>
          </w:rPr>
        </w:sdtEndPr>
        <w:sdtContent>
          <w:bookmarkStart w:id="0" w:name="_Toc1044"/>
        </w:sdtContent>
      </w:sdt>
    </w:p>
    <w:p>
      <w:pPr>
        <w:pStyle w:val="3"/>
        <w:tabs>
          <w:tab w:val="center" w:pos="4742"/>
        </w:tabs>
        <w:spacing w:before="312" w:after="312" w:line="300" w:lineRule="auto"/>
        <w:ind w:firstLine="3520" w:firstLineChars="800"/>
        <w:jc w:val="left"/>
        <w:rPr>
          <w:rFonts w:ascii="Times New Roman" w:hAnsi="Times New Roman" w:eastAsia="黑体"/>
          <w:b w:val="0"/>
          <w:bCs w:val="0"/>
          <w:color w:val="auto"/>
          <w:highlight w:val="none"/>
        </w:rPr>
      </w:pPr>
      <w:r>
        <w:rPr>
          <w:rFonts w:hint="eastAsia" w:ascii="Times New Roman" w:hAnsi="Times New Roman" w:eastAsia="黑体"/>
          <w:b w:val="0"/>
          <w:bCs w:val="0"/>
          <w:color w:val="auto"/>
          <w:highlight w:val="none"/>
        </w:rPr>
        <w:t>说</w:t>
      </w:r>
      <w:r>
        <w:rPr>
          <w:rFonts w:hint="eastAsia" w:ascii="Times New Roman" w:hAnsi="Times New Roman" w:eastAsia="黑体"/>
          <w:b w:val="0"/>
          <w:bCs w:val="0"/>
          <w:color w:val="auto"/>
          <w:highlight w:val="none"/>
          <w:lang w:val="en-US" w:eastAsia="zh-CN"/>
        </w:rPr>
        <w:t xml:space="preserve"> </w:t>
      </w:r>
      <w:r>
        <w:rPr>
          <w:rFonts w:hint="eastAsia" w:ascii="Times New Roman" w:hAnsi="Times New Roman" w:eastAsia="黑体"/>
          <w:b w:val="0"/>
          <w:bCs w:val="0"/>
          <w:color w:val="auto"/>
          <w:highlight w:val="none"/>
        </w:rPr>
        <w:t>明</w:t>
      </w:r>
      <w:bookmarkEnd w:id="0"/>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受鄂州市临空经济区财政金融局（以下简称财金局）委托，湖北众信会计师事务有限公司对</w:t>
      </w:r>
      <w:r>
        <w:rPr>
          <w:rFonts w:hint="eastAsia" w:ascii="仿宋_GB2312" w:hAnsi="宋体" w:eastAsia="仿宋_GB2312"/>
          <w:color w:val="auto"/>
          <w:sz w:val="28"/>
          <w:szCs w:val="28"/>
          <w:highlight w:val="none"/>
          <w:lang w:val="en-US" w:eastAsia="zh-CN"/>
        </w:rPr>
        <w:t>赵寨村红道驿站</w:t>
      </w:r>
      <w:r>
        <w:rPr>
          <w:rFonts w:hint="eastAsia" w:ascii="仿宋_GB2312" w:hAnsi="宋体" w:eastAsia="仿宋_GB2312"/>
          <w:color w:val="auto"/>
          <w:sz w:val="28"/>
          <w:szCs w:val="28"/>
          <w:highlight w:val="none"/>
        </w:rPr>
        <w:t>项目财政衔接资金使用情况进行了绩效评价。通过此次评价，全面了解</w:t>
      </w:r>
      <w:r>
        <w:rPr>
          <w:rFonts w:hint="eastAsia" w:ascii="仿宋_GB2312" w:hAnsi="宋体" w:eastAsia="仿宋_GB2312"/>
          <w:color w:val="auto"/>
          <w:sz w:val="28"/>
          <w:szCs w:val="28"/>
          <w:highlight w:val="none"/>
          <w:lang w:val="en-US" w:eastAsia="zh-CN"/>
        </w:rPr>
        <w:t>赵寨村红道驿站</w:t>
      </w:r>
      <w:r>
        <w:rPr>
          <w:rFonts w:hint="eastAsia" w:ascii="仿宋_GB2312" w:hAnsi="宋体" w:eastAsia="仿宋_GB2312"/>
          <w:color w:val="auto"/>
          <w:sz w:val="28"/>
          <w:szCs w:val="28"/>
          <w:highlight w:val="none"/>
        </w:rPr>
        <w:t>项目财政衔接资金拨付、使用情况以及取得的综合绩效，同时通过对项目资金绩效评价，总结经验、发现问题、提出改进建议，保证</w:t>
      </w:r>
      <w:r>
        <w:rPr>
          <w:rFonts w:hint="eastAsia" w:ascii="仿宋_GB2312" w:hAnsi="宋体" w:eastAsia="仿宋_GB2312"/>
          <w:color w:val="auto"/>
          <w:sz w:val="28"/>
          <w:szCs w:val="28"/>
          <w:highlight w:val="none"/>
          <w:lang w:val="en-US" w:eastAsia="zh-CN"/>
        </w:rPr>
        <w:t>赵寨村红道驿站</w:t>
      </w:r>
      <w:r>
        <w:rPr>
          <w:rFonts w:hint="eastAsia" w:ascii="仿宋_GB2312" w:hAnsi="宋体" w:eastAsia="仿宋_GB2312"/>
          <w:color w:val="auto"/>
          <w:sz w:val="28"/>
          <w:szCs w:val="28"/>
          <w:highlight w:val="none"/>
        </w:rPr>
        <w:t>项目财政衔接资金使用管理的规范性、安全性和有效性。</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次评价依照财政部《项目支出绩效评价管理办法》（财预[2020]10号文件）、湖北省财政厅关于印发《全面实施预算绩效管理系列制度的通知》（鄂财绩发[2020]3号文件）、临空经济区党工委农村工作领导小组办公室关于印发《2023年度巩固拓展脱贫攻坚成果同乡村振兴有效衔接项目库的批复的通知》(临空农组办发[2023]1号)、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湖北省衔接资金项 目管理“一本通”》</w:t>
      </w:r>
      <w:r>
        <w:rPr>
          <w:rFonts w:hint="eastAsia" w:ascii="仿宋_GB2312" w:hAnsi="宋体" w:eastAsia="仿宋_GB2312"/>
          <w:color w:val="auto"/>
          <w:sz w:val="28"/>
          <w:szCs w:val="28"/>
          <w:highlight w:val="none"/>
        </w:rPr>
        <w:t>等文件和政策的规定和要求，按时完成了“</w:t>
      </w:r>
      <w:r>
        <w:rPr>
          <w:rFonts w:hint="eastAsia" w:ascii="仿宋_GB2312" w:hAnsi="宋体" w:eastAsia="仿宋_GB2312"/>
          <w:color w:val="auto"/>
          <w:sz w:val="28"/>
          <w:szCs w:val="28"/>
          <w:highlight w:val="none"/>
          <w:lang w:val="en-US" w:eastAsia="zh-CN"/>
        </w:rPr>
        <w:t>赵寨村红道驿站</w:t>
      </w:r>
      <w:r>
        <w:rPr>
          <w:rFonts w:hint="eastAsia" w:ascii="仿宋_GB2312" w:hAnsi="宋体" w:eastAsia="仿宋_GB2312"/>
          <w:color w:val="auto"/>
          <w:sz w:val="28"/>
          <w:szCs w:val="28"/>
          <w:highlight w:val="none"/>
        </w:rPr>
        <w:t>项目”绩效评价工作，并形成本绩效评价报告。</w:t>
      </w:r>
    </w:p>
    <w:p>
      <w:pPr>
        <w:spacing w:line="300" w:lineRule="auto"/>
        <w:ind w:firstLine="3795" w:firstLineChars="1050"/>
        <w:rPr>
          <w:rFonts w:hint="eastAsia" w:ascii="ˎ̥" w:hAnsi="ˎ̥"/>
          <w:b/>
          <w:color w:val="auto"/>
          <w:sz w:val="36"/>
          <w:szCs w:val="36"/>
          <w:highlight w:val="none"/>
        </w:rPr>
      </w:pPr>
    </w:p>
    <w:p>
      <w:pPr>
        <w:spacing w:line="300" w:lineRule="auto"/>
        <w:rPr>
          <w:rFonts w:hint="eastAsia" w:ascii="ˎ̥" w:hAnsi="ˎ̥"/>
          <w:b/>
          <w:color w:val="auto"/>
          <w:sz w:val="36"/>
          <w:szCs w:val="36"/>
          <w:highlight w:val="none"/>
        </w:rPr>
      </w:pPr>
    </w:p>
    <w:p>
      <w:pPr>
        <w:pStyle w:val="3"/>
        <w:keepNext/>
        <w:keepLines/>
        <w:pageBreakBefore w:val="0"/>
        <w:widowControl w:val="0"/>
        <w:kinsoku/>
        <w:wordWrap/>
        <w:overflowPunct/>
        <w:topLinePunct w:val="0"/>
        <w:autoSpaceDE/>
        <w:autoSpaceDN/>
        <w:bidi w:val="0"/>
        <w:adjustRightInd/>
        <w:snapToGrid/>
        <w:spacing w:before="0" w:after="0"/>
        <w:jc w:val="center"/>
        <w:textAlignment w:val="auto"/>
        <w:rPr>
          <w:rFonts w:hint="eastAsia" w:ascii="黑体" w:hAnsi="黑体" w:eastAsia="黑体" w:cs="黑体"/>
          <w:color w:val="auto"/>
          <w:sz w:val="36"/>
          <w:szCs w:val="36"/>
          <w:highlight w:val="none"/>
        </w:rPr>
      </w:pPr>
      <w:bookmarkStart w:id="1" w:name="_Toc3784"/>
      <w:r>
        <w:rPr>
          <w:rFonts w:hint="eastAsia" w:ascii="宋体" w:hAnsi="宋体" w:eastAsia="宋体" w:cs="宋体"/>
          <w:color w:val="auto"/>
          <w:sz w:val="36"/>
          <w:szCs w:val="36"/>
          <w:highlight w:val="none"/>
        </w:rPr>
        <w:t>报告摘要</w:t>
      </w:r>
      <w:bookmarkEnd w:id="1"/>
    </w:p>
    <w:p>
      <w:pPr>
        <w:widowControl/>
        <w:spacing w:line="300" w:lineRule="auto"/>
        <w:ind w:firstLine="551" w:firstLineChars="196"/>
        <w:jc w:val="left"/>
        <w:rPr>
          <w:rFonts w:ascii="宋体" w:hAnsi="宋体" w:cs="宋体"/>
          <w:b/>
          <w:bCs/>
          <w:color w:val="auto"/>
          <w:kern w:val="0"/>
          <w:sz w:val="28"/>
          <w:szCs w:val="28"/>
          <w:highlight w:val="none"/>
        </w:rPr>
      </w:pPr>
    </w:p>
    <w:p>
      <w:pPr>
        <w:widowControl/>
        <w:spacing w:line="300" w:lineRule="auto"/>
        <w:ind w:firstLine="551" w:firstLineChars="196"/>
        <w:jc w:val="left"/>
        <w:outlineLvl w:val="9"/>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一、项目基本情况</w:t>
      </w:r>
    </w:p>
    <w:p>
      <w:pPr>
        <w:widowControl/>
        <w:spacing w:line="300" w:lineRule="auto"/>
        <w:ind w:firstLine="551" w:firstLineChars="196"/>
        <w:jc w:val="left"/>
        <w:outlineLvl w:val="9"/>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（一）项目立项及批复情况</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临空经济开发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年度乡村振兴项目。</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为深入贯彻落实党的二十大精神及乡村振兴战略，按照“产业兴旺、生态宜居”总要求，根据上级统一要求部署，结合我村实际情况和农村生产发展需求，2</w:t>
      </w:r>
      <w:r>
        <w:rPr>
          <w:rFonts w:ascii="仿宋_GB2312" w:hAnsi="宋体" w:eastAsia="仿宋_GB2312"/>
          <w:color w:val="auto"/>
          <w:sz w:val="28"/>
          <w:szCs w:val="28"/>
          <w:highlight w:val="none"/>
        </w:rPr>
        <w:t>023</w:t>
      </w:r>
      <w:r>
        <w:rPr>
          <w:rFonts w:hint="eastAsia" w:ascii="仿宋_GB2312" w:hAnsi="宋体" w:eastAsia="仿宋_GB2312"/>
          <w:color w:val="auto"/>
          <w:sz w:val="28"/>
          <w:szCs w:val="28"/>
          <w:highlight w:val="none"/>
        </w:rPr>
        <w:t>年</w:t>
      </w:r>
      <w:r>
        <w:rPr>
          <w:rFonts w:hint="eastAsia" w:ascii="仿宋_GB2312" w:hAnsi="宋体" w:eastAsia="仿宋_GB2312"/>
          <w:color w:val="auto"/>
          <w:sz w:val="28"/>
          <w:szCs w:val="28"/>
          <w:highlight w:val="none"/>
          <w:lang w:val="en-US" w:eastAsia="zh-CN"/>
        </w:rPr>
        <w:t>赵寨村</w:t>
      </w:r>
      <w:r>
        <w:rPr>
          <w:rFonts w:hint="eastAsia" w:ascii="仿宋_GB2312" w:hAnsi="宋体" w:eastAsia="仿宋_GB2312"/>
          <w:color w:val="auto"/>
          <w:sz w:val="28"/>
          <w:szCs w:val="28"/>
          <w:highlight w:val="none"/>
        </w:rPr>
        <w:t>拟申报巩固拓展脱贫攻坚成果同乡村振兴项目，为巩固拓展脱贫攻坚成果，加快乡村振兴建设步伐，</w:t>
      </w:r>
      <w:r>
        <w:rPr>
          <w:rFonts w:hint="eastAsia" w:ascii="仿宋_GB2312" w:hAnsi="宋体" w:eastAsia="仿宋_GB2312"/>
          <w:color w:val="auto"/>
          <w:sz w:val="28"/>
          <w:szCs w:val="28"/>
          <w:highlight w:val="none"/>
          <w:lang w:val="en-US" w:eastAsia="zh-CN"/>
        </w:rPr>
        <w:t>赵寨村</w:t>
      </w:r>
      <w:r>
        <w:rPr>
          <w:rFonts w:hint="eastAsia" w:ascii="仿宋_GB2312" w:hAnsi="宋体" w:eastAsia="仿宋_GB2312"/>
          <w:color w:val="auto"/>
          <w:sz w:val="28"/>
          <w:szCs w:val="28"/>
          <w:highlight w:val="none"/>
        </w:rPr>
        <w:t>紧紧围绕临空区党工委、管委会提出的“十里红道、山水临境”推进思路，焦聚产业、人才、文化、生态、组织“五大振新”，大力实施乡村振兴工作，经村两委、驻村工作队</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党员村民代表大会讨论决定配套完善“十里红道”基础设施建设，新建一个红道驿站项目，推进文旅融合。</w:t>
      </w:r>
      <w:r>
        <w:rPr>
          <w:rFonts w:hint="eastAsia" w:ascii="仿宋_GB2312" w:hAnsi="宋体" w:eastAsia="仿宋_GB2312"/>
          <w:color w:val="auto"/>
          <w:sz w:val="28"/>
          <w:szCs w:val="28"/>
          <w:highlight w:val="none"/>
          <w:lang w:val="en-US" w:eastAsia="zh-CN"/>
        </w:rPr>
        <w:t>赵寨村</w:t>
      </w:r>
      <w:r>
        <w:rPr>
          <w:rFonts w:hint="eastAsia" w:ascii="仿宋_GB2312" w:hAnsi="宋体" w:eastAsia="仿宋_GB2312"/>
          <w:color w:val="auto"/>
          <w:sz w:val="28"/>
          <w:szCs w:val="28"/>
          <w:highlight w:val="none"/>
        </w:rPr>
        <w:t>向镇申报了202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年度乡村振兴项目——</w:t>
      </w:r>
      <w:r>
        <w:rPr>
          <w:rFonts w:hint="eastAsia" w:ascii="仿宋_GB2312" w:hAnsi="宋体" w:eastAsia="仿宋_GB2312"/>
          <w:color w:val="auto"/>
          <w:sz w:val="28"/>
          <w:szCs w:val="28"/>
          <w:highlight w:val="none"/>
          <w:lang w:val="en-US" w:eastAsia="zh-CN"/>
        </w:rPr>
        <w:t>红道驿站</w:t>
      </w:r>
      <w:r>
        <w:rPr>
          <w:rFonts w:hint="eastAsia" w:ascii="仿宋_GB2312" w:hAnsi="宋体" w:eastAsia="仿宋_GB2312"/>
          <w:color w:val="auto"/>
          <w:sz w:val="28"/>
          <w:szCs w:val="28"/>
          <w:highlight w:val="none"/>
        </w:rPr>
        <w:t>项目。</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区乡村振兴局向各镇下发了《关于202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年度申报实施乡村振兴项目库的批复》，批复了</w:t>
      </w:r>
      <w:r>
        <w:rPr>
          <w:rFonts w:hint="eastAsia" w:ascii="仿宋_GB2312" w:hAnsi="宋体" w:eastAsia="仿宋_GB2312"/>
          <w:color w:val="auto"/>
          <w:sz w:val="28"/>
          <w:szCs w:val="28"/>
          <w:highlight w:val="none"/>
          <w:lang w:val="en-US" w:eastAsia="zh-CN"/>
        </w:rPr>
        <w:t>赵寨村的红道驿站</w:t>
      </w:r>
      <w:r>
        <w:rPr>
          <w:rFonts w:hint="eastAsia" w:ascii="仿宋_GB2312" w:hAnsi="宋体" w:eastAsia="仿宋_GB2312"/>
          <w:color w:val="auto"/>
          <w:sz w:val="28"/>
          <w:szCs w:val="28"/>
          <w:highlight w:val="none"/>
        </w:rPr>
        <w:t>项目，整合资金安排</w:t>
      </w:r>
      <w:r>
        <w:rPr>
          <w:rFonts w:hint="eastAsia" w:ascii="仿宋_GB2312" w:hAnsi="宋体" w:eastAsia="仿宋_GB2312"/>
          <w:color w:val="auto"/>
          <w:sz w:val="28"/>
          <w:szCs w:val="28"/>
          <w:highlight w:val="none"/>
          <w:lang w:val="en-US" w:eastAsia="zh-CN"/>
        </w:rPr>
        <w:t>25</w:t>
      </w:r>
      <w:r>
        <w:rPr>
          <w:rFonts w:hint="eastAsia" w:ascii="仿宋_GB2312" w:hAnsi="宋体" w:eastAsia="仿宋_GB2312"/>
          <w:color w:val="auto"/>
          <w:sz w:val="28"/>
          <w:szCs w:val="28"/>
          <w:highlight w:val="none"/>
        </w:rPr>
        <w:t>万元，全部是财政衔接推进乡村振兴补助资金。</w:t>
      </w:r>
    </w:p>
    <w:p>
      <w:pPr>
        <w:spacing w:line="300" w:lineRule="auto"/>
        <w:ind w:firstLine="540" w:firstLineChars="192"/>
        <w:outlineLvl w:val="9"/>
        <w:rPr>
          <w:rFonts w:ascii="ˎ̥" w:hAnsi="ˎ̥"/>
          <w:b/>
          <w:color w:val="auto"/>
          <w:sz w:val="28"/>
          <w:szCs w:val="28"/>
          <w:highlight w:val="none"/>
        </w:rPr>
      </w:pPr>
      <w:bookmarkStart w:id="2" w:name="_Hlk152234441"/>
      <w:r>
        <w:rPr>
          <w:rFonts w:hint="eastAsia"/>
          <w:b/>
          <w:bCs/>
          <w:color w:val="auto"/>
          <w:sz w:val="28"/>
          <w:szCs w:val="28"/>
          <w:highlight w:val="none"/>
        </w:rPr>
        <w:t>（二）</w:t>
      </w:r>
      <w:r>
        <w:rPr>
          <w:rFonts w:hint="eastAsia" w:ascii="ˎ̥" w:hAnsi="ˎ̥"/>
          <w:b/>
          <w:color w:val="auto"/>
          <w:sz w:val="28"/>
          <w:szCs w:val="28"/>
          <w:highlight w:val="none"/>
        </w:rPr>
        <w:t>项目实施单位情况</w:t>
      </w:r>
    </w:p>
    <w:bookmarkEnd w:id="2"/>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沙窝乡赵寨村民委员会（以下简称赵寨村），法定代表人：赵中友。统一社会信用代码：54420704ME1808715P。</w:t>
      </w:r>
    </w:p>
    <w:p>
      <w:pPr>
        <w:spacing w:line="300" w:lineRule="auto"/>
        <w:ind w:firstLine="560" w:firstLineChars="200"/>
        <w:rPr>
          <w:rFonts w:ascii="仿宋_GB2312" w:eastAsia="仿宋_GB2312"/>
          <w:color w:val="auto"/>
          <w:sz w:val="28"/>
          <w:szCs w:val="28"/>
          <w:highlight w:val="none"/>
        </w:rPr>
      </w:pPr>
      <w:r>
        <w:rPr>
          <w:rFonts w:hint="eastAsia" w:ascii="仿宋_GB2312" w:hAnsi="宋体" w:eastAsia="仿宋_GB2312"/>
          <w:color w:val="auto"/>
          <w:sz w:val="28"/>
          <w:szCs w:val="28"/>
          <w:highlight w:val="none"/>
        </w:rPr>
        <w:t>赵寨村位于鄂州市东南部，占地总面积7800亩，全村共14个小组，25个自然湾，总人口530户1708人，党员总人数66人。本村</w:t>
      </w:r>
      <w:r>
        <w:rPr>
          <w:rFonts w:hint="eastAsia" w:ascii="仿宋_GB2312" w:hAnsi="宋体" w:eastAsia="仿宋_GB2312" w:cstheme="minorBidi"/>
          <w:color w:val="auto"/>
          <w:sz w:val="28"/>
          <w:szCs w:val="28"/>
          <w:highlight w:val="none"/>
        </w:rPr>
        <w:t>建档立卡脱贫户67户，脱贫人口153人；监测户2户3人。</w:t>
      </w:r>
    </w:p>
    <w:p>
      <w:pPr>
        <w:spacing w:line="300" w:lineRule="auto"/>
        <w:ind w:firstLine="562" w:firstLineChars="200"/>
        <w:outlineLvl w:val="9"/>
        <w:rPr>
          <w:b/>
          <w:bCs/>
          <w:color w:val="auto"/>
          <w:sz w:val="28"/>
          <w:szCs w:val="28"/>
          <w:highlight w:val="none"/>
        </w:rPr>
      </w:pPr>
      <w:r>
        <w:rPr>
          <w:rFonts w:hint="eastAsia"/>
          <w:b/>
          <w:bCs/>
          <w:color w:val="auto"/>
          <w:sz w:val="28"/>
          <w:szCs w:val="28"/>
          <w:highlight w:val="none"/>
        </w:rPr>
        <w:t>（三）项目基本情况</w:t>
      </w:r>
    </w:p>
    <w:p>
      <w:pPr>
        <w:spacing w:line="300" w:lineRule="auto"/>
        <w:ind w:firstLine="537" w:firstLineChars="192"/>
        <w:rPr>
          <w:rFonts w:hint="eastAsia" w:ascii="仿宋_GB2312" w:eastAsia="仿宋_GB2312"/>
          <w:color w:val="auto"/>
          <w:sz w:val="28"/>
          <w:szCs w:val="28"/>
          <w:highlight w:val="none"/>
        </w:rPr>
      </w:pPr>
      <w:r>
        <w:rPr>
          <w:rFonts w:hint="eastAsia" w:ascii="仿宋_GB2312" w:hAnsi="Times New Roman" w:eastAsia="仿宋_GB2312" w:cs="Times New Roman"/>
          <w:b w:val="0"/>
          <w:bCs w:val="0"/>
          <w:color w:val="auto"/>
          <w:kern w:val="2"/>
          <w:sz w:val="28"/>
          <w:szCs w:val="28"/>
          <w:highlight w:val="none"/>
          <w:lang w:val="en-US" w:eastAsia="zh-CN" w:bidi="ar-SA"/>
        </w:rPr>
        <w:t>赵寨村</w:t>
      </w:r>
      <w:r>
        <w:rPr>
          <w:rFonts w:hint="eastAsia" w:ascii="仿宋_GB2312" w:eastAsia="仿宋_GB2312"/>
          <w:color w:val="auto"/>
          <w:sz w:val="28"/>
          <w:szCs w:val="28"/>
          <w:highlight w:val="none"/>
        </w:rPr>
        <w:t>认真贯彻落实市、区关于农村发展方面决策部署，巩团提升</w:t>
      </w:r>
      <w:r>
        <w:rPr>
          <w:rFonts w:hint="eastAsia" w:ascii="仿宋_GB2312" w:hAnsi="Times New Roman" w:eastAsia="仿宋_GB2312" w:cs="Times New Roman"/>
          <w:b w:val="0"/>
          <w:bCs w:val="0"/>
          <w:color w:val="auto"/>
          <w:kern w:val="2"/>
          <w:sz w:val="28"/>
          <w:szCs w:val="28"/>
          <w:highlight w:val="none"/>
          <w:lang w:val="en-US" w:eastAsia="zh-CN" w:bidi="ar-SA"/>
        </w:rPr>
        <w:t>赵寨村</w:t>
      </w:r>
      <w:r>
        <w:rPr>
          <w:rFonts w:hint="eastAsia" w:ascii="仿宋_GB2312" w:eastAsia="仿宋_GB2312"/>
          <w:color w:val="auto"/>
          <w:sz w:val="28"/>
          <w:szCs w:val="28"/>
          <w:highlight w:val="none"/>
        </w:rPr>
        <w:t>试点湾美好环境与幸福生活共同缔造成效。</w:t>
      </w:r>
      <w:r>
        <w:rPr>
          <w:rFonts w:hint="eastAsia" w:ascii="仿宋_GB2312" w:eastAsia="仿宋_GB2312"/>
          <w:color w:val="auto"/>
          <w:sz w:val="28"/>
          <w:szCs w:val="28"/>
          <w:highlight w:val="none"/>
          <w:lang w:val="en-US" w:eastAsia="zh-CN"/>
        </w:rPr>
        <w:t>巩固拓展脱贫攻坚成果</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加强农村基础设施建设</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推进文旅融合</w:t>
      </w:r>
      <w:r>
        <w:rPr>
          <w:rFonts w:hint="eastAsia" w:ascii="仿宋_GB2312" w:eastAsia="仿宋_GB2312"/>
          <w:color w:val="auto"/>
          <w:sz w:val="28"/>
          <w:szCs w:val="28"/>
          <w:highlight w:val="none"/>
        </w:rPr>
        <w:t>。</w:t>
      </w:r>
    </w:p>
    <w:p>
      <w:pPr>
        <w:spacing w:line="300" w:lineRule="auto"/>
        <w:ind w:firstLine="537" w:firstLineChars="192"/>
        <w:rPr>
          <w:rFonts w:hint="eastAsia" w:ascii="仿宋_GB2312" w:hAnsi="Times New Roman" w:eastAsia="仿宋_GB2312" w:cs="Times New Roman"/>
          <w:b w:val="0"/>
          <w:bCs w:val="0"/>
          <w:color w:val="auto"/>
          <w:kern w:val="2"/>
          <w:sz w:val="28"/>
          <w:szCs w:val="28"/>
          <w:highlight w:val="none"/>
          <w:lang w:val="en-US" w:eastAsia="zh-CN" w:bidi="ar-SA"/>
        </w:rPr>
      </w:pPr>
      <w:r>
        <w:rPr>
          <w:rFonts w:hint="eastAsia" w:ascii="仿宋_GB2312" w:hAnsi="Times New Roman" w:eastAsia="仿宋_GB2312" w:cs="Times New Roman"/>
          <w:b w:val="0"/>
          <w:bCs w:val="0"/>
          <w:color w:val="auto"/>
          <w:kern w:val="2"/>
          <w:sz w:val="28"/>
          <w:szCs w:val="28"/>
          <w:highlight w:val="none"/>
          <w:lang w:val="en-US" w:eastAsia="zh-CN" w:bidi="ar-SA"/>
        </w:rPr>
        <w:t>赵寨村红道驿站项目的建设，打造了服务新就业群体的“红道驿站”为村民提供了一个暖心场所，增强了村民的归属感，以实际行动优化营商环境，让辖区村民幸福生活水平更高、成色更足、内涵更丰富。为发展乡村旅游，对当地旅游经济的发展起到了积极的促进作用。</w:t>
      </w:r>
    </w:p>
    <w:p>
      <w:pPr>
        <w:spacing w:line="300" w:lineRule="auto"/>
        <w:ind w:firstLine="562" w:firstLineChars="200"/>
        <w:outlineLvl w:val="9"/>
        <w:rPr>
          <w:b/>
          <w:bCs/>
          <w:color w:val="auto"/>
          <w:sz w:val="28"/>
          <w:szCs w:val="28"/>
          <w:highlight w:val="none"/>
        </w:rPr>
      </w:pPr>
      <w:r>
        <w:rPr>
          <w:rFonts w:hint="eastAsia"/>
          <w:b/>
          <w:bCs/>
          <w:color w:val="auto"/>
          <w:sz w:val="28"/>
          <w:szCs w:val="28"/>
          <w:highlight w:val="none"/>
        </w:rPr>
        <w:t>（四）项目绩效目标</w:t>
      </w:r>
    </w:p>
    <w:p>
      <w:pPr>
        <w:spacing w:line="30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赵寨村红道驿站</w:t>
      </w:r>
      <w:r>
        <w:rPr>
          <w:rFonts w:hint="eastAsia" w:ascii="仿宋_GB2312" w:eastAsia="仿宋_GB2312"/>
          <w:color w:val="auto"/>
          <w:sz w:val="28"/>
          <w:szCs w:val="28"/>
          <w:highlight w:val="none"/>
        </w:rPr>
        <w:t>项目，绩效目标：</w:t>
      </w:r>
    </w:p>
    <w:p>
      <w:pPr>
        <w:numPr>
          <w:ilvl w:val="0"/>
          <w:numId w:val="0"/>
        </w:numPr>
        <w:spacing w:line="300" w:lineRule="auto"/>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s="Times New Roman"/>
          <w:color w:val="auto"/>
          <w:kern w:val="2"/>
          <w:sz w:val="28"/>
          <w:szCs w:val="28"/>
          <w:highlight w:val="none"/>
          <w:lang w:val="en-US" w:eastAsia="zh-CN" w:bidi="ar-SA"/>
        </w:rPr>
        <w:t>1、</w:t>
      </w:r>
      <w:r>
        <w:rPr>
          <w:rFonts w:hint="eastAsia" w:ascii="仿宋_GB2312" w:eastAsia="仿宋_GB2312"/>
          <w:color w:val="auto"/>
          <w:sz w:val="28"/>
          <w:szCs w:val="28"/>
          <w:highlight w:val="none"/>
        </w:rPr>
        <w:t>数量指标：</w:t>
      </w:r>
      <w:r>
        <w:rPr>
          <w:rFonts w:hint="eastAsia" w:ascii="仿宋_GB2312" w:eastAsia="仿宋_GB2312"/>
          <w:color w:val="auto"/>
          <w:sz w:val="28"/>
          <w:szCs w:val="28"/>
          <w:highlight w:val="none"/>
          <w:lang w:val="en-US" w:eastAsia="zh-CN"/>
        </w:rPr>
        <w:t>一是建场地面积≥30平方米；二是新建房间≥2间；三是门头≥1个；四是新建公厕≥1个；</w:t>
      </w:r>
    </w:p>
    <w:p>
      <w:pPr>
        <w:numPr>
          <w:ilvl w:val="0"/>
          <w:numId w:val="0"/>
        </w:numPr>
        <w:spacing w:line="30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质量指标：</w:t>
      </w:r>
      <w:r>
        <w:rPr>
          <w:rFonts w:hint="eastAsia" w:ascii="仿宋_GB2312" w:eastAsia="仿宋_GB2312"/>
          <w:color w:val="auto"/>
          <w:sz w:val="28"/>
          <w:szCs w:val="28"/>
          <w:highlight w:val="none"/>
          <w:lang w:val="en-US" w:eastAsia="zh-CN"/>
        </w:rPr>
        <w:t>一是设备等质量合格率100%；二是项目场地验收合格率100%。</w:t>
      </w:r>
    </w:p>
    <w:p>
      <w:pPr>
        <w:spacing w:line="300" w:lineRule="auto"/>
        <w:ind w:firstLine="560" w:firstLineChars="200"/>
        <w:outlineLvl w:val="9"/>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时效指标：项目</w:t>
      </w:r>
      <w:r>
        <w:rPr>
          <w:rFonts w:ascii="仿宋_GB2312" w:eastAsia="仿宋_GB2312"/>
          <w:color w:val="auto"/>
          <w:sz w:val="28"/>
          <w:szCs w:val="28"/>
          <w:highlight w:val="none"/>
        </w:rPr>
        <w:t>完成及时率</w:t>
      </w:r>
      <w:r>
        <w:rPr>
          <w:rFonts w:hint="eastAsia" w:ascii="仿宋_GB2312" w:eastAsia="仿宋_GB2312"/>
          <w:color w:val="auto"/>
          <w:sz w:val="28"/>
          <w:szCs w:val="28"/>
          <w:highlight w:val="none"/>
        </w:rPr>
        <w:t>1</w:t>
      </w:r>
      <w:r>
        <w:rPr>
          <w:rFonts w:ascii="仿宋_GB2312" w:eastAsia="仿宋_GB2312"/>
          <w:color w:val="auto"/>
          <w:sz w:val="28"/>
          <w:szCs w:val="28"/>
          <w:highlight w:val="none"/>
        </w:rPr>
        <w:t>00</w:t>
      </w:r>
      <w:r>
        <w:rPr>
          <w:rFonts w:hint="eastAsia" w:ascii="仿宋_GB2312" w:eastAsia="仿宋_GB2312"/>
          <w:color w:val="auto"/>
          <w:sz w:val="28"/>
          <w:szCs w:val="28"/>
          <w:highlight w:val="none"/>
        </w:rPr>
        <w:t>%。</w:t>
      </w:r>
    </w:p>
    <w:p>
      <w:pPr>
        <w:spacing w:line="300" w:lineRule="auto"/>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经济效益：</w:t>
      </w:r>
      <w:r>
        <w:rPr>
          <w:rFonts w:hint="eastAsia" w:ascii="仿宋_GB2312" w:eastAsia="仿宋_GB2312"/>
          <w:color w:val="auto"/>
          <w:sz w:val="28"/>
          <w:szCs w:val="28"/>
          <w:highlight w:val="none"/>
          <w:lang w:val="en-US" w:eastAsia="zh-CN"/>
        </w:rPr>
        <w:t>一是增加了贫困地区特色产业产值；二是特色产业带动增加脱贫人口收入（总收入）≥0.5万元。</w:t>
      </w:r>
    </w:p>
    <w:p>
      <w:pPr>
        <w:spacing w:line="300" w:lineRule="auto"/>
        <w:ind w:firstLine="537" w:firstLineChars="192"/>
        <w:rPr>
          <w:rFonts w:hint="eastAsia" w:ascii="仿宋_GB2312" w:hAnsi="Times New Roman" w:eastAsia="仿宋_GB2312" w:cs="Times New Roman"/>
          <w:b w:val="0"/>
          <w:bCs w:val="0"/>
          <w:color w:val="auto"/>
          <w:kern w:val="2"/>
          <w:sz w:val="28"/>
          <w:szCs w:val="28"/>
          <w:highlight w:val="none"/>
          <w:lang w:val="en-US" w:eastAsia="zh-CN" w:bidi="ar-SA"/>
        </w:rPr>
      </w:pPr>
      <w:r>
        <w:rPr>
          <w:rFonts w:hint="eastAsia" w:ascii="仿宋_GB2312" w:hAnsi="Times New Roman" w:eastAsia="仿宋_GB2312" w:cs="Times New Roman"/>
          <w:b w:val="0"/>
          <w:bCs w:val="0"/>
          <w:color w:val="auto"/>
          <w:kern w:val="2"/>
          <w:sz w:val="28"/>
          <w:szCs w:val="28"/>
          <w:highlight w:val="none"/>
          <w:lang w:val="en-US" w:eastAsia="zh-CN" w:bidi="ar-SA"/>
        </w:rPr>
        <w:t>5、社会效益：一是为游客提供休息饮水的场所，促进文旅融合二是受益脱贫人口数≥1人。</w:t>
      </w:r>
    </w:p>
    <w:p>
      <w:pPr>
        <w:spacing w:line="300" w:lineRule="auto"/>
        <w:ind w:firstLine="562" w:firstLineChars="200"/>
        <w:outlineLvl w:val="9"/>
        <w:rPr>
          <w:rFonts w:hint="eastAsia"/>
          <w:b/>
          <w:bCs/>
          <w:color w:val="auto"/>
          <w:sz w:val="28"/>
          <w:szCs w:val="28"/>
          <w:highlight w:val="none"/>
          <w:lang w:val="en-US" w:eastAsia="zh-CN"/>
        </w:rPr>
      </w:pPr>
      <w:r>
        <w:rPr>
          <w:rFonts w:hint="eastAsia"/>
          <w:b/>
          <w:bCs/>
          <w:color w:val="auto"/>
          <w:sz w:val="28"/>
          <w:szCs w:val="28"/>
          <w:highlight w:val="none"/>
          <w:lang w:val="en-US" w:eastAsia="zh-CN"/>
        </w:rPr>
        <w:t>（五）项目申报及完成投资情况</w:t>
      </w:r>
    </w:p>
    <w:p>
      <w:pPr>
        <w:spacing w:line="300" w:lineRule="auto"/>
        <w:ind w:firstLine="537" w:firstLineChars="192"/>
        <w:rPr>
          <w:rFonts w:hint="eastAsia" w:ascii="仿宋_GB2312" w:hAnsi="Times New Roman" w:eastAsia="仿宋_GB2312" w:cs="Times New Roman"/>
          <w:b w:val="0"/>
          <w:bCs w:val="0"/>
          <w:color w:val="auto"/>
          <w:kern w:val="2"/>
          <w:sz w:val="28"/>
          <w:szCs w:val="28"/>
          <w:highlight w:val="none"/>
          <w:lang w:val="en-US" w:eastAsia="zh-CN" w:bidi="ar-SA"/>
        </w:rPr>
      </w:pPr>
      <w:r>
        <w:rPr>
          <w:rFonts w:hint="eastAsia" w:ascii="仿宋_GB2312" w:hAnsi="Times New Roman" w:eastAsia="仿宋_GB2312" w:cs="Times New Roman"/>
          <w:b w:val="0"/>
          <w:bCs w:val="0"/>
          <w:color w:val="auto"/>
          <w:kern w:val="2"/>
          <w:sz w:val="28"/>
          <w:szCs w:val="28"/>
          <w:highlight w:val="none"/>
          <w:lang w:val="en-US" w:eastAsia="zh-CN" w:bidi="ar-SA"/>
        </w:rPr>
        <w:t>项目申报投资250,000.00元，其中：财政衔接资金250,000.00元。</w:t>
      </w:r>
    </w:p>
    <w:p>
      <w:pPr>
        <w:spacing w:line="300" w:lineRule="auto"/>
        <w:ind w:firstLine="537" w:firstLineChars="192"/>
        <w:rPr>
          <w:rFonts w:hint="eastAsia" w:ascii="仿宋_GB2312" w:hAnsi="Times New Roman" w:eastAsia="仿宋_GB2312" w:cs="Times New Roman"/>
          <w:b w:val="0"/>
          <w:bCs w:val="0"/>
          <w:color w:val="auto"/>
          <w:kern w:val="2"/>
          <w:sz w:val="28"/>
          <w:szCs w:val="28"/>
          <w:highlight w:val="none"/>
          <w:lang w:val="en-US" w:eastAsia="zh-CN" w:bidi="ar-SA"/>
        </w:rPr>
      </w:pPr>
      <w:r>
        <w:rPr>
          <w:rFonts w:hint="eastAsia" w:ascii="仿宋_GB2312" w:eastAsia="仿宋_GB2312"/>
          <w:color w:val="auto"/>
          <w:sz w:val="28"/>
          <w:szCs w:val="28"/>
          <w:highlight w:val="none"/>
          <w:lang w:val="en-US" w:eastAsia="zh-CN"/>
        </w:rPr>
        <w:t>项目完成</w:t>
      </w:r>
      <w:r>
        <w:rPr>
          <w:rFonts w:hint="eastAsia" w:ascii="仿宋_GB2312" w:hAnsi="Times New Roman" w:eastAsia="仿宋_GB2312" w:cs="Times New Roman"/>
          <w:b w:val="0"/>
          <w:bCs w:val="0"/>
          <w:color w:val="auto"/>
          <w:kern w:val="2"/>
          <w:sz w:val="28"/>
          <w:szCs w:val="28"/>
          <w:highlight w:val="none"/>
          <w:lang w:val="en-US" w:eastAsia="zh-CN" w:bidi="ar-SA"/>
        </w:rPr>
        <w:t>投资242,867.07元。经审查：截至2024年3月31日，项目实际完成投资242,867.07元，其中：工程审定投资239,867.07元，审计费3,000.00元。</w:t>
      </w:r>
    </w:p>
    <w:p>
      <w:pPr>
        <w:spacing w:line="300" w:lineRule="auto"/>
        <w:ind w:firstLine="537" w:firstLineChars="192"/>
        <w:rPr>
          <w:rFonts w:hint="default" w:ascii="仿宋_GB2312" w:hAnsi="Times New Roman" w:eastAsia="仿宋_GB2312" w:cs="Times New Roman"/>
          <w:b w:val="0"/>
          <w:bCs w:val="0"/>
          <w:color w:val="auto"/>
          <w:kern w:val="2"/>
          <w:sz w:val="28"/>
          <w:szCs w:val="28"/>
          <w:highlight w:val="none"/>
          <w:lang w:val="en-US" w:eastAsia="zh-CN" w:bidi="ar-SA"/>
        </w:rPr>
      </w:pPr>
      <w:r>
        <w:rPr>
          <w:rFonts w:hint="eastAsia" w:ascii="仿宋_GB2312" w:eastAsia="仿宋_GB2312" w:cs="Times New Roman"/>
          <w:b w:val="0"/>
          <w:bCs w:val="0"/>
          <w:color w:val="auto"/>
          <w:kern w:val="2"/>
          <w:sz w:val="28"/>
          <w:szCs w:val="28"/>
          <w:highlight w:val="none"/>
          <w:lang w:val="en-US" w:eastAsia="zh-CN" w:bidi="ar-SA"/>
        </w:rPr>
        <w:t>项目节约投资</w:t>
      </w:r>
      <w:r>
        <w:rPr>
          <w:rFonts w:hint="eastAsia" w:ascii="仿宋_GB2312" w:eastAsia="仿宋_GB2312"/>
          <w:color w:val="auto"/>
          <w:sz w:val="28"/>
          <w:szCs w:val="28"/>
          <w:highlight w:val="none"/>
        </w:rPr>
        <w:t>7,132.93元</w:t>
      </w:r>
      <w:r>
        <w:rPr>
          <w:rFonts w:hint="eastAsia" w:ascii="仿宋_GB2312" w:eastAsia="仿宋_GB2312"/>
          <w:color w:val="auto"/>
          <w:sz w:val="28"/>
          <w:szCs w:val="28"/>
          <w:highlight w:val="none"/>
          <w:lang w:eastAsia="zh-CN"/>
        </w:rPr>
        <w:t>。</w:t>
      </w:r>
      <w:r>
        <w:rPr>
          <w:rFonts w:hint="eastAsia" w:ascii="仿宋_GB2312" w:hAnsi="Times New Roman" w:eastAsia="仿宋_GB2312" w:cs="Times New Roman"/>
          <w:b w:val="0"/>
          <w:bCs w:val="0"/>
          <w:color w:val="auto"/>
          <w:kern w:val="2"/>
          <w:sz w:val="28"/>
          <w:szCs w:val="28"/>
          <w:highlight w:val="none"/>
          <w:lang w:val="en-US" w:eastAsia="zh-CN" w:bidi="ar-SA"/>
        </w:rPr>
        <w:t>项目申报投资250,000.00元</w:t>
      </w:r>
      <w:r>
        <w:rPr>
          <w:rFonts w:hint="eastAsia" w:ascii="仿宋_GB2312" w:eastAsia="仿宋_GB2312" w:cs="Times New Roman"/>
          <w:b w:val="0"/>
          <w:bCs w:val="0"/>
          <w:color w:val="auto"/>
          <w:kern w:val="2"/>
          <w:sz w:val="28"/>
          <w:szCs w:val="28"/>
          <w:highlight w:val="none"/>
          <w:lang w:val="en-US" w:eastAsia="zh-CN" w:bidi="ar-SA"/>
        </w:rPr>
        <w:t>，</w:t>
      </w:r>
      <w:r>
        <w:rPr>
          <w:rFonts w:hint="eastAsia" w:ascii="仿宋_GB2312" w:eastAsia="仿宋_GB2312"/>
          <w:color w:val="auto"/>
          <w:sz w:val="28"/>
          <w:szCs w:val="28"/>
          <w:highlight w:val="none"/>
          <w:lang w:val="en-US" w:eastAsia="zh-CN"/>
        </w:rPr>
        <w:t>实际完成</w:t>
      </w:r>
      <w:r>
        <w:rPr>
          <w:rFonts w:hint="eastAsia" w:ascii="仿宋_GB2312" w:hAnsi="Times New Roman" w:eastAsia="仿宋_GB2312" w:cs="Times New Roman"/>
          <w:b w:val="0"/>
          <w:bCs w:val="0"/>
          <w:color w:val="auto"/>
          <w:kern w:val="2"/>
          <w:sz w:val="28"/>
          <w:szCs w:val="28"/>
          <w:highlight w:val="none"/>
          <w:lang w:val="en-US" w:eastAsia="zh-CN" w:bidi="ar-SA"/>
        </w:rPr>
        <w:t>投资242,867.07元</w:t>
      </w:r>
      <w:r>
        <w:rPr>
          <w:rFonts w:hint="eastAsia" w:ascii="仿宋_GB2312" w:eastAsia="仿宋_GB2312" w:cs="Times New Roman"/>
          <w:b w:val="0"/>
          <w:bCs w:val="0"/>
          <w:color w:val="auto"/>
          <w:kern w:val="2"/>
          <w:sz w:val="28"/>
          <w:szCs w:val="28"/>
          <w:highlight w:val="none"/>
          <w:lang w:val="en-US" w:eastAsia="zh-CN" w:bidi="ar-SA"/>
        </w:rPr>
        <w:t>，节约投资</w:t>
      </w:r>
      <w:r>
        <w:rPr>
          <w:rFonts w:hint="eastAsia" w:ascii="仿宋_GB2312" w:eastAsia="仿宋_GB2312"/>
          <w:color w:val="auto"/>
          <w:sz w:val="28"/>
          <w:szCs w:val="28"/>
          <w:highlight w:val="none"/>
        </w:rPr>
        <w:t>7,132.93元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节约率2.85%。</w:t>
      </w:r>
    </w:p>
    <w:p>
      <w:pPr>
        <w:numPr>
          <w:ilvl w:val="0"/>
          <w:numId w:val="0"/>
        </w:numPr>
        <w:spacing w:line="300" w:lineRule="auto"/>
        <w:ind w:firstLine="562" w:firstLineChars="200"/>
        <w:outlineLvl w:val="9"/>
        <w:rPr>
          <w:rFonts w:hint="eastAsia"/>
          <w:b/>
          <w:bCs/>
          <w:color w:val="auto"/>
          <w:sz w:val="28"/>
          <w:szCs w:val="28"/>
          <w:highlight w:val="none"/>
        </w:rPr>
      </w:pPr>
      <w:r>
        <w:rPr>
          <w:rFonts w:hint="eastAsia" w:ascii="Times New Roman" w:hAnsi="Times New Roman" w:eastAsia="宋体" w:cs="Times New Roman"/>
          <w:b/>
          <w:bCs/>
          <w:color w:val="auto"/>
          <w:kern w:val="2"/>
          <w:sz w:val="28"/>
          <w:szCs w:val="28"/>
          <w:highlight w:val="none"/>
          <w:lang w:val="en-US" w:eastAsia="zh-CN" w:bidi="ar-SA"/>
        </w:rPr>
        <w:t>（六）</w:t>
      </w:r>
      <w:r>
        <w:rPr>
          <w:rFonts w:hint="eastAsia"/>
          <w:b/>
          <w:bCs/>
          <w:color w:val="auto"/>
          <w:sz w:val="28"/>
          <w:szCs w:val="28"/>
          <w:highlight w:val="none"/>
          <w:lang w:val="en-US" w:eastAsia="zh-CN"/>
        </w:rPr>
        <w:t>项目</w:t>
      </w:r>
      <w:r>
        <w:rPr>
          <w:rFonts w:hint="eastAsia"/>
          <w:b/>
          <w:bCs/>
          <w:color w:val="auto"/>
          <w:sz w:val="28"/>
          <w:szCs w:val="28"/>
          <w:highlight w:val="none"/>
        </w:rPr>
        <w:t>资金</w:t>
      </w:r>
      <w:r>
        <w:rPr>
          <w:rFonts w:hint="eastAsia"/>
          <w:b/>
          <w:bCs/>
          <w:color w:val="auto"/>
          <w:sz w:val="28"/>
          <w:szCs w:val="28"/>
          <w:highlight w:val="none"/>
          <w:lang w:val="en-US" w:eastAsia="zh-CN"/>
        </w:rPr>
        <w:t>收</w:t>
      </w:r>
      <w:r>
        <w:rPr>
          <w:rFonts w:hint="eastAsia"/>
          <w:b/>
          <w:bCs/>
          <w:color w:val="auto"/>
          <w:sz w:val="28"/>
          <w:szCs w:val="28"/>
          <w:highlight w:val="none"/>
        </w:rPr>
        <w:t>付情况</w:t>
      </w:r>
    </w:p>
    <w:p>
      <w:pPr>
        <w:widowControl/>
        <w:spacing w:line="300" w:lineRule="auto"/>
        <w:ind w:firstLine="560" w:firstLineChars="200"/>
        <w:jc w:val="left"/>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临空经济区乡村振兴财政衔接资金，采取财政直达方式，直接拨付至用款单位。</w:t>
      </w:r>
    </w:p>
    <w:p>
      <w:pPr>
        <w:widowControl/>
        <w:spacing w:line="300" w:lineRule="auto"/>
        <w:ind w:firstLine="560" w:firstLineChars="200"/>
        <w:jc w:val="left"/>
        <w:rPr>
          <w:rFonts w:hint="eastAsia" w:ascii="仿宋_GB2312" w:hAnsi="宋体" w:eastAsia="仿宋_GB2312" w:cs="Times New Roman"/>
          <w:b w:val="0"/>
          <w:bCs w:val="0"/>
          <w:color w:val="auto"/>
          <w:kern w:val="2"/>
          <w:sz w:val="28"/>
          <w:szCs w:val="28"/>
          <w:highlight w:val="none"/>
          <w:lang w:val="en-US" w:eastAsia="zh-CN" w:bidi="ar-SA"/>
        </w:rPr>
      </w:pPr>
      <w:r>
        <w:rPr>
          <w:rFonts w:hint="eastAsia" w:ascii="仿宋_GB2312" w:hAnsi="宋体" w:eastAsia="仿宋_GB2312" w:cs="Times New Roman"/>
          <w:b w:val="0"/>
          <w:bCs w:val="0"/>
          <w:color w:val="auto"/>
          <w:kern w:val="2"/>
          <w:sz w:val="28"/>
          <w:szCs w:val="28"/>
          <w:highlight w:val="none"/>
          <w:lang w:val="en-US" w:eastAsia="zh-CN" w:bidi="ar-SA"/>
        </w:rPr>
        <w:t>该项目财政衔接资金250,000.00元。</w:t>
      </w:r>
    </w:p>
    <w:p>
      <w:pPr>
        <w:spacing w:line="30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截至</w:t>
      </w:r>
      <w:r>
        <w:rPr>
          <w:rFonts w:hint="eastAsia" w:ascii="仿宋_GB2312" w:eastAsia="仿宋_GB2312"/>
          <w:color w:val="auto"/>
          <w:sz w:val="28"/>
          <w:szCs w:val="28"/>
          <w:highlight w:val="none"/>
          <w:lang w:eastAsia="zh-CN"/>
        </w:rPr>
        <w:t>2024年3月31日</w:t>
      </w:r>
      <w:r>
        <w:rPr>
          <w:rFonts w:hint="eastAsia" w:ascii="仿宋_GB2312" w:eastAsia="仿宋_GB2312"/>
          <w:color w:val="auto"/>
          <w:sz w:val="28"/>
          <w:szCs w:val="28"/>
          <w:highlight w:val="none"/>
        </w:rPr>
        <w:t>，已经拨付财政衔接资金242,867.07元，其中：湖北锦昶建设有限公司工程款239</w:t>
      </w:r>
      <w:r>
        <w:rPr>
          <w:rFonts w:hint="eastAsia" w:ascii="仿宋_GB2312" w:eastAsia="仿宋_GB2312"/>
          <w:color w:val="auto"/>
          <w:sz w:val="28"/>
          <w:szCs w:val="28"/>
          <w:highlight w:val="none"/>
          <w:lang w:val="en-US" w:eastAsia="zh-CN"/>
        </w:rPr>
        <w:t>,</w:t>
      </w:r>
      <w:r>
        <w:rPr>
          <w:rFonts w:hint="eastAsia" w:ascii="仿宋_GB2312" w:eastAsia="仿宋_GB2312"/>
          <w:color w:val="auto"/>
          <w:sz w:val="28"/>
          <w:szCs w:val="28"/>
          <w:highlight w:val="none"/>
        </w:rPr>
        <w:t>867.07元，湖北翔云工程咨询有限公司审计费</w:t>
      </w:r>
      <w:r>
        <w:rPr>
          <w:rFonts w:ascii="仿宋_GB2312" w:eastAsia="仿宋_GB2312"/>
          <w:color w:val="auto"/>
          <w:sz w:val="28"/>
          <w:szCs w:val="28"/>
          <w:highlight w:val="none"/>
        </w:rPr>
        <w:t>3,000.00</w:t>
      </w:r>
      <w:r>
        <w:rPr>
          <w:rFonts w:hint="eastAsia" w:ascii="仿宋_GB2312" w:eastAsia="仿宋_GB2312"/>
          <w:color w:val="auto"/>
          <w:sz w:val="28"/>
          <w:szCs w:val="28"/>
          <w:highlight w:val="none"/>
        </w:rPr>
        <w:t>元。</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暂未拨付财政衔接资金7,132.93元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不用支付，可调剂使用或收回</w:t>
      </w:r>
      <w:r>
        <w:rPr>
          <w:rFonts w:hint="eastAsia" w:ascii="仿宋_GB2312" w:eastAsia="仿宋_GB2312"/>
          <w:color w:val="auto"/>
          <w:sz w:val="28"/>
          <w:szCs w:val="28"/>
          <w:highlight w:val="none"/>
        </w:rPr>
        <w:t>。</w:t>
      </w:r>
    </w:p>
    <w:p>
      <w:pPr>
        <w:spacing w:line="300" w:lineRule="auto"/>
        <w:ind w:firstLine="413" w:firstLineChars="147"/>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二、绩效评价工作情况</w:t>
      </w:r>
    </w:p>
    <w:p>
      <w:pPr>
        <w:spacing w:line="300" w:lineRule="auto"/>
        <w:ind w:firstLine="413" w:firstLineChars="147"/>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（一）绩效评价目的</w:t>
      </w:r>
    </w:p>
    <w:p>
      <w:pPr>
        <w:spacing w:line="300" w:lineRule="auto"/>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通过本次评价，旨在全面了解</w:t>
      </w:r>
      <w:r>
        <w:rPr>
          <w:rFonts w:hint="eastAsia" w:ascii="仿宋_GB2312" w:eastAsia="仿宋_GB2312"/>
          <w:color w:val="auto"/>
          <w:sz w:val="28"/>
          <w:szCs w:val="28"/>
          <w:highlight w:val="none"/>
          <w:lang w:val="en-US" w:eastAsia="zh-CN"/>
        </w:rPr>
        <w:t>赵寨村红道驿站</w:t>
      </w:r>
      <w:r>
        <w:rPr>
          <w:rFonts w:hint="eastAsia" w:ascii="仿宋_GB2312" w:eastAsia="仿宋_GB2312"/>
          <w:color w:val="auto"/>
          <w:sz w:val="28"/>
          <w:szCs w:val="28"/>
          <w:highlight w:val="none"/>
        </w:rPr>
        <w:t>建设情况、财政衔接资金拨付和使用情况以及取得的综合绩效。同时通过对项目资金绩效评价，总结经验、发现问题、提出改进建议，保证项目资金使用管理的规范性、安全性和有效性。推进农业健康、可持续发展做出积极的贡献。</w:t>
      </w:r>
    </w:p>
    <w:p>
      <w:pPr>
        <w:spacing w:line="300" w:lineRule="auto"/>
        <w:ind w:firstLine="413" w:firstLineChars="147"/>
        <w:outlineLvl w:val="9"/>
        <w:rPr>
          <w:b/>
          <w:bCs/>
          <w:color w:val="auto"/>
          <w:sz w:val="28"/>
          <w:szCs w:val="28"/>
          <w:highlight w:val="none"/>
        </w:rPr>
      </w:pPr>
      <w:r>
        <w:rPr>
          <w:rFonts w:hint="eastAsia"/>
          <w:b/>
          <w:bCs/>
          <w:color w:val="auto"/>
          <w:sz w:val="28"/>
          <w:szCs w:val="28"/>
          <w:highlight w:val="none"/>
        </w:rPr>
        <w:t>（二）评价对象与范围</w:t>
      </w:r>
    </w:p>
    <w:p>
      <w:pPr>
        <w:spacing w:line="300" w:lineRule="auto"/>
        <w:ind w:firstLine="560" w:firstLineChars="200"/>
        <w:rPr>
          <w:rFonts w:hint="eastAsia"/>
          <w:b/>
          <w:bCs/>
          <w:color w:val="auto"/>
          <w:sz w:val="28"/>
          <w:szCs w:val="28"/>
          <w:highlight w:val="none"/>
          <w:lang w:eastAsia="zh-CN"/>
        </w:rPr>
      </w:pPr>
      <w:r>
        <w:rPr>
          <w:rFonts w:hint="eastAsia" w:ascii="仿宋_GB2312" w:eastAsia="仿宋_GB2312"/>
          <w:color w:val="auto"/>
          <w:sz w:val="28"/>
          <w:szCs w:val="28"/>
          <w:highlight w:val="none"/>
        </w:rPr>
        <w:t>本次资金绩效评价对象与范围为：</w:t>
      </w:r>
      <w:r>
        <w:rPr>
          <w:rFonts w:hint="eastAsia" w:ascii="仿宋_GB2312" w:eastAsia="仿宋_GB2312"/>
          <w:color w:val="auto"/>
          <w:sz w:val="28"/>
          <w:szCs w:val="28"/>
          <w:highlight w:val="none"/>
          <w:lang w:val="en-US" w:eastAsia="zh-CN"/>
        </w:rPr>
        <w:t>赵寨村红道驿站</w:t>
      </w:r>
      <w:r>
        <w:rPr>
          <w:rFonts w:hint="eastAsia" w:ascii="仿宋_GB2312" w:eastAsia="仿宋_GB2312"/>
          <w:color w:val="auto"/>
          <w:sz w:val="28"/>
          <w:szCs w:val="28"/>
          <w:highlight w:val="none"/>
        </w:rPr>
        <w:t>项目财政衔接资金</w:t>
      </w:r>
      <w:r>
        <w:rPr>
          <w:rFonts w:hint="eastAsia" w:ascii="仿宋_GB2312" w:eastAsia="仿宋_GB2312"/>
          <w:color w:val="auto"/>
          <w:sz w:val="28"/>
          <w:szCs w:val="28"/>
          <w:highlight w:val="none"/>
          <w:lang w:val="en-US" w:eastAsia="zh-CN"/>
        </w:rPr>
        <w:t>250,000.00元的</w:t>
      </w:r>
      <w:r>
        <w:rPr>
          <w:rFonts w:hint="eastAsia" w:ascii="仿宋_GB2312" w:eastAsia="仿宋_GB2312"/>
          <w:color w:val="auto"/>
          <w:sz w:val="28"/>
          <w:szCs w:val="28"/>
          <w:highlight w:val="none"/>
        </w:rPr>
        <w:t>拨付和使用情况。</w:t>
      </w:r>
    </w:p>
    <w:p>
      <w:pPr>
        <w:spacing w:line="300" w:lineRule="auto"/>
        <w:ind w:firstLine="562" w:firstLineChars="200"/>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三</w:t>
      </w:r>
      <w:r>
        <w:rPr>
          <w:rFonts w:hint="eastAsia" w:ascii="宋体" w:hAnsi="宋体" w:eastAsia="宋体" w:cs="宋体"/>
          <w:b/>
          <w:bCs/>
          <w:color w:val="auto"/>
          <w:sz w:val="28"/>
          <w:szCs w:val="28"/>
          <w:highlight w:val="none"/>
        </w:rPr>
        <w:t>、评价结论</w:t>
      </w:r>
    </w:p>
    <w:p>
      <w:pPr>
        <w:spacing w:line="300" w:lineRule="auto"/>
        <w:ind w:firstLine="413" w:firstLineChars="147"/>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（一）评分结果</w:t>
      </w:r>
    </w:p>
    <w:p>
      <w:pPr>
        <w:spacing w:line="30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赵寨村红道驿站</w:t>
      </w:r>
      <w:r>
        <w:rPr>
          <w:rFonts w:hint="eastAsia" w:ascii="仿宋_GB2312" w:eastAsia="仿宋_GB2312"/>
          <w:color w:val="auto"/>
          <w:sz w:val="28"/>
          <w:szCs w:val="28"/>
          <w:highlight w:val="none"/>
        </w:rPr>
        <w:t>项目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经评价工作组评定，</w:t>
      </w:r>
      <w:r>
        <w:rPr>
          <w:rFonts w:hint="eastAsia" w:ascii="仿宋_GB2312" w:eastAsia="仿宋_GB2312"/>
          <w:color w:val="auto"/>
          <w:sz w:val="28"/>
          <w:szCs w:val="28"/>
          <w:highlight w:val="none"/>
          <w:lang w:val="en-US" w:eastAsia="zh-CN"/>
        </w:rPr>
        <w:t>赵寨村村红道驿站</w:t>
      </w:r>
      <w:r>
        <w:rPr>
          <w:rFonts w:hint="eastAsia" w:ascii="仿宋_GB2312" w:eastAsia="仿宋_GB2312"/>
          <w:color w:val="auto"/>
          <w:sz w:val="28"/>
          <w:szCs w:val="28"/>
          <w:highlight w:val="none"/>
        </w:rPr>
        <w:t>项目财政衔接资金绩效评价综合得分为</w:t>
      </w:r>
      <w:r>
        <w:rPr>
          <w:rFonts w:hint="eastAsia" w:ascii="仿宋_GB2312" w:eastAsia="仿宋_GB2312"/>
          <w:color w:val="auto"/>
          <w:sz w:val="28"/>
          <w:szCs w:val="28"/>
          <w:highlight w:val="none"/>
          <w:lang w:val="en-US" w:eastAsia="zh-CN"/>
        </w:rPr>
        <w:t>94</w:t>
      </w:r>
      <w:r>
        <w:rPr>
          <w:rFonts w:hint="eastAsia" w:ascii="仿宋_GB2312" w:eastAsia="仿宋_GB2312"/>
          <w:color w:val="auto"/>
          <w:sz w:val="28"/>
          <w:szCs w:val="28"/>
          <w:highlight w:val="none"/>
        </w:rPr>
        <w:t>分，绩效等级为</w:t>
      </w:r>
      <w:r>
        <w:rPr>
          <w:rFonts w:hint="eastAsia" w:ascii="仿宋_GB2312" w:eastAsia="仿宋_GB2312"/>
          <w:color w:val="auto"/>
          <w:sz w:val="28"/>
          <w:szCs w:val="28"/>
          <w:highlight w:val="none"/>
          <w:lang w:val="en-US" w:eastAsia="zh-CN"/>
        </w:rPr>
        <w:t>优</w:t>
      </w:r>
      <w:r>
        <w:rPr>
          <w:rFonts w:hint="eastAsia" w:ascii="仿宋_GB2312" w:eastAsia="仿宋_GB2312"/>
          <w:color w:val="auto"/>
          <w:sz w:val="28"/>
          <w:szCs w:val="28"/>
          <w:highlight w:val="none"/>
        </w:rPr>
        <w:t>。</w:t>
      </w:r>
    </w:p>
    <w:tbl>
      <w:tblPr>
        <w:tblStyle w:val="9"/>
        <w:tblW w:w="8700" w:type="dxa"/>
        <w:tblInd w:w="96" w:type="dxa"/>
        <w:tblLayout w:type="fixed"/>
        <w:tblCellMar>
          <w:top w:w="0" w:type="dxa"/>
          <w:left w:w="108" w:type="dxa"/>
          <w:bottom w:w="0" w:type="dxa"/>
          <w:right w:w="108" w:type="dxa"/>
        </w:tblCellMar>
      </w:tblPr>
      <w:tblGrid>
        <w:gridCol w:w="779"/>
        <w:gridCol w:w="576"/>
        <w:gridCol w:w="1260"/>
        <w:gridCol w:w="624"/>
        <w:gridCol w:w="2225"/>
        <w:gridCol w:w="535"/>
        <w:gridCol w:w="641"/>
        <w:gridCol w:w="2060"/>
      </w:tblGrid>
      <w:tr>
        <w:tblPrEx>
          <w:tblCellMar>
            <w:top w:w="0" w:type="dxa"/>
            <w:left w:w="108" w:type="dxa"/>
            <w:bottom w:w="0" w:type="dxa"/>
            <w:right w:w="108" w:type="dxa"/>
          </w:tblCellMar>
        </w:tblPrEx>
        <w:trPr>
          <w:trHeight w:val="288" w:hRule="atLeast"/>
        </w:trPr>
        <w:tc>
          <w:tcPr>
            <w:tcW w:w="8700" w:type="dxa"/>
            <w:gridSpan w:val="8"/>
            <w:tcBorders>
              <w:top w:val="nil"/>
              <w:left w:val="nil"/>
              <w:bottom w:val="nil"/>
              <w:right w:val="nil"/>
            </w:tcBorders>
            <w:noWrap/>
            <w:vAlign w:val="center"/>
          </w:tcPr>
          <w:p>
            <w:pPr>
              <w:jc w:val="center"/>
              <w:textAlignment w:val="center"/>
              <w:rPr>
                <w:color w:val="auto"/>
                <w:sz w:val="22"/>
                <w:szCs w:val="22"/>
                <w:highlight w:val="none"/>
              </w:rPr>
            </w:pPr>
            <w:r>
              <w:rPr>
                <w:rFonts w:hint="eastAsia"/>
                <w:b/>
                <w:bCs/>
                <w:color w:val="auto"/>
                <w:sz w:val="28"/>
                <w:szCs w:val="28"/>
                <w:highlight w:val="none"/>
                <w:lang w:val="en-US" w:eastAsia="zh-CN" w:bidi="ar"/>
              </w:rPr>
              <w:t>赵寨村红道驿站</w:t>
            </w:r>
            <w:r>
              <w:rPr>
                <w:rFonts w:hint="eastAsia"/>
                <w:b/>
                <w:bCs/>
                <w:color w:val="auto"/>
                <w:sz w:val="28"/>
                <w:szCs w:val="28"/>
                <w:highlight w:val="none"/>
                <w:lang w:bidi="ar"/>
              </w:rPr>
              <w:t>项目评分体系和得分简表</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一级</w:t>
            </w:r>
          </w:p>
        </w:tc>
        <w:tc>
          <w:tcPr>
            <w:tcW w:w="5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分</w:t>
            </w:r>
          </w:p>
        </w:tc>
        <w:tc>
          <w:tcPr>
            <w:tcW w:w="12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二级</w:t>
            </w:r>
          </w:p>
        </w:tc>
        <w:tc>
          <w:tcPr>
            <w:tcW w:w="62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分</w:t>
            </w:r>
          </w:p>
        </w:tc>
        <w:tc>
          <w:tcPr>
            <w:tcW w:w="222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三级指标</w:t>
            </w:r>
          </w:p>
        </w:tc>
        <w:tc>
          <w:tcPr>
            <w:tcW w:w="5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分</w:t>
            </w:r>
          </w:p>
        </w:tc>
        <w:tc>
          <w:tcPr>
            <w:tcW w:w="64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得分</w:t>
            </w:r>
          </w:p>
        </w:tc>
        <w:tc>
          <w:tcPr>
            <w:tcW w:w="20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失分原因</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指标</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值</w:t>
            </w: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值</w:t>
            </w: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szCs w:val="20"/>
                <w:highlight w:val="none"/>
              </w:rPr>
            </w:pPr>
          </w:p>
        </w:tc>
        <w:tc>
          <w:tcPr>
            <w:tcW w:w="206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决策</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18</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项目立项</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6</w:t>
            </w:r>
          </w:p>
        </w:tc>
        <w:tc>
          <w:tcPr>
            <w:tcW w:w="2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立项依据充分性</w:t>
            </w:r>
          </w:p>
        </w:tc>
        <w:tc>
          <w:tcPr>
            <w:tcW w:w="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立项程序规范性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绩效目标</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7</w:t>
            </w: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绩效目标合理性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绩效指标的批复</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资金投入</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5</w:t>
            </w: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财政衔接资金明确性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其他配套资金明确性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过程</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30</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资金落实</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6</w:t>
            </w: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资金到位率</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eastAsia="宋体"/>
                <w:color w:val="auto"/>
                <w:sz w:val="20"/>
                <w:szCs w:val="20"/>
                <w:highlight w:val="none"/>
                <w:lang w:val="en-US" w:eastAsia="zh-CN"/>
              </w:rPr>
            </w:pPr>
            <w:r>
              <w:rPr>
                <w:rFonts w:hint="eastAsia"/>
                <w:color w:val="auto"/>
                <w:sz w:val="20"/>
                <w:szCs w:val="20"/>
                <w:highlight w:val="none"/>
                <w:lang w:val="en-US" w:eastAsia="zh-CN"/>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到位及时率</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eastAsia="宋体"/>
                <w:color w:val="auto"/>
                <w:sz w:val="20"/>
                <w:szCs w:val="20"/>
                <w:highlight w:val="none"/>
                <w:lang w:val="en-US" w:eastAsia="zh-CN"/>
              </w:rPr>
            </w:pPr>
            <w:r>
              <w:rPr>
                <w:rFonts w:hint="eastAsia"/>
                <w:color w:val="auto"/>
                <w:sz w:val="20"/>
                <w:szCs w:val="20"/>
                <w:highlight w:val="none"/>
                <w:lang w:val="en-US" w:eastAsia="zh-CN"/>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eastAsia="宋体"/>
                <w:color w:val="auto"/>
                <w:sz w:val="20"/>
                <w:szCs w:val="20"/>
                <w:highlight w:val="none"/>
                <w:lang w:val="en-US" w:eastAsia="zh-CN"/>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财务管理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9</w:t>
            </w: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资金拨付方式是否规范</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资金使用合规性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财务监控有效性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rFonts w:hint="default" w:eastAsia="宋体"/>
                <w:color w:val="auto"/>
                <w:sz w:val="20"/>
                <w:szCs w:val="20"/>
                <w:highlight w:val="none"/>
                <w:lang w:val="en-US" w:eastAsia="zh-CN"/>
              </w:rPr>
            </w:pPr>
            <w:r>
              <w:rPr>
                <w:rFonts w:hint="eastAsia"/>
                <w:color w:val="auto"/>
                <w:sz w:val="20"/>
                <w:szCs w:val="20"/>
                <w:highlight w:val="none"/>
                <w:lang w:val="en-US" w:eastAsia="zh-CN"/>
              </w:rPr>
              <w:t>未按规定预留质保金</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业务管理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12</w:t>
            </w: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管理制度健全性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制度执行有效性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项目质量可控性</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档案管理</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档案规范性</w:t>
            </w:r>
          </w:p>
        </w:tc>
        <w:tc>
          <w:tcPr>
            <w:tcW w:w="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产出</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25</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目标完成情况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18</w:t>
            </w: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产出数量</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7</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7</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产出质量</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6</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6</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产出时效（项目完成及时率）</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5</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5</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资金使用情况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7</w:t>
            </w: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资金使用率</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成本节约率</w:t>
            </w: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效果</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27</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社会经济效益</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17</w:t>
            </w:r>
          </w:p>
        </w:tc>
        <w:tc>
          <w:tcPr>
            <w:tcW w:w="2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经济效益</w:t>
            </w:r>
          </w:p>
        </w:tc>
        <w:tc>
          <w:tcPr>
            <w:tcW w:w="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5</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5</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社会效益</w:t>
            </w:r>
          </w:p>
        </w:tc>
        <w:tc>
          <w:tcPr>
            <w:tcW w:w="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生态效益</w:t>
            </w:r>
          </w:p>
        </w:tc>
        <w:tc>
          <w:tcPr>
            <w:tcW w:w="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2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服务对象满意度</w:t>
            </w:r>
          </w:p>
        </w:tc>
        <w:tc>
          <w:tcPr>
            <w:tcW w:w="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可持续影响</w:t>
            </w: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7</w:t>
            </w:r>
          </w:p>
        </w:tc>
        <w:tc>
          <w:tcPr>
            <w:tcW w:w="2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建后经营管理</w:t>
            </w:r>
          </w:p>
        </w:tc>
        <w:tc>
          <w:tcPr>
            <w:tcW w:w="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7</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cs="宋体"/>
                <w:i w:val="0"/>
                <w:iCs w:val="0"/>
                <w:color w:val="auto"/>
                <w:kern w:val="0"/>
                <w:sz w:val="20"/>
                <w:szCs w:val="20"/>
                <w:highlight w:val="none"/>
                <w:u w:val="none"/>
                <w:lang w:val="en-US" w:eastAsia="zh-CN" w:bidi="ar"/>
                <w14:ligatures w14:val="standardContextual"/>
              </w:rPr>
              <w:t>5</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未见管护制度</w:t>
            </w:r>
            <w:r>
              <w:rPr>
                <w:rFonts w:hint="eastAsia" w:ascii="宋体" w:hAnsi="宋体" w:cs="宋体"/>
                <w:i w:val="0"/>
                <w:iCs w:val="0"/>
                <w:color w:val="auto"/>
                <w:kern w:val="0"/>
                <w:sz w:val="20"/>
                <w:szCs w:val="20"/>
                <w:highlight w:val="none"/>
                <w:u w:val="none"/>
                <w:lang w:val="en-US" w:eastAsia="zh-CN" w:bidi="ar"/>
                <w14:ligatures w14:val="standardContextual"/>
              </w:rPr>
              <w:t>，</w:t>
            </w:r>
            <w:r>
              <w:rPr>
                <w:rFonts w:hint="eastAsia" w:ascii="宋体" w:hAnsi="宋体" w:eastAsia="宋体" w:cs="宋体"/>
                <w:i w:val="0"/>
                <w:iCs w:val="0"/>
                <w:color w:val="auto"/>
                <w:kern w:val="0"/>
                <w:sz w:val="20"/>
                <w:szCs w:val="20"/>
                <w:highlight w:val="none"/>
                <w:u w:val="none"/>
                <w:lang w:val="en-US" w:eastAsia="zh-CN" w:bidi="ar"/>
                <w14:ligatures w14:val="standardContextual"/>
              </w:rPr>
              <w:t>也未移交村级管理。</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3</w:t>
            </w:r>
          </w:p>
        </w:tc>
        <w:tc>
          <w:tcPr>
            <w:tcW w:w="22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群众满意度</w:t>
            </w:r>
          </w:p>
        </w:tc>
        <w:tc>
          <w:tcPr>
            <w:tcW w:w="5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总分</w:t>
            </w:r>
          </w:p>
        </w:tc>
        <w:tc>
          <w:tcPr>
            <w:tcW w:w="5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100</w:t>
            </w:r>
          </w:p>
        </w:tc>
        <w:tc>
          <w:tcPr>
            <w:tcW w:w="1260" w:type="dxa"/>
            <w:tcBorders>
              <w:top w:val="single" w:color="000000" w:sz="4" w:space="0"/>
              <w:left w:val="single" w:color="000000" w:sz="4" w:space="0"/>
              <w:bottom w:val="single" w:color="000000" w:sz="4" w:space="0"/>
              <w:right w:val="single" w:color="000000" w:sz="4" w:space="0"/>
            </w:tcBorders>
            <w:vAlign w:val="center"/>
          </w:tcPr>
          <w:p>
            <w:pPr>
              <w:jc w:val="left"/>
              <w:rPr>
                <w:color w:val="auto"/>
                <w:sz w:val="20"/>
                <w:szCs w:val="20"/>
                <w:highlight w:val="none"/>
              </w:rPr>
            </w:pPr>
          </w:p>
        </w:tc>
        <w:tc>
          <w:tcPr>
            <w:tcW w:w="6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100</w:t>
            </w:r>
          </w:p>
        </w:tc>
        <w:tc>
          <w:tcPr>
            <w:tcW w:w="2225" w:type="dxa"/>
            <w:tcBorders>
              <w:top w:val="single" w:color="000000" w:sz="4" w:space="0"/>
              <w:left w:val="single" w:color="000000" w:sz="4" w:space="0"/>
              <w:bottom w:val="single" w:color="000000" w:sz="4" w:space="0"/>
              <w:right w:val="single" w:color="000000" w:sz="4" w:space="0"/>
            </w:tcBorders>
            <w:vAlign w:val="center"/>
          </w:tcPr>
          <w:p>
            <w:pPr>
              <w:jc w:val="left"/>
              <w:rPr>
                <w:color w:val="auto"/>
                <w:sz w:val="20"/>
                <w:szCs w:val="20"/>
                <w:highlight w:val="none"/>
              </w:rPr>
            </w:pPr>
          </w:p>
        </w:tc>
        <w:tc>
          <w:tcPr>
            <w:tcW w:w="5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100</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eastAsia="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94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bl>
    <w:p>
      <w:pPr>
        <w:spacing w:line="300" w:lineRule="auto"/>
        <w:ind w:firstLine="562" w:firstLineChars="200"/>
        <w:outlineLvl w:val="9"/>
        <w:rPr>
          <w:rFonts w:hint="eastAsia"/>
          <w:b/>
          <w:color w:val="auto"/>
          <w:sz w:val="28"/>
          <w:szCs w:val="28"/>
          <w:highlight w:val="none"/>
        </w:rPr>
      </w:pPr>
    </w:p>
    <w:p>
      <w:pPr>
        <w:spacing w:line="300" w:lineRule="auto"/>
        <w:ind w:firstLine="562" w:firstLineChars="200"/>
        <w:outlineLvl w:val="9"/>
        <w:rPr>
          <w:rFonts w:ascii="仿宋_GB2312"/>
          <w:b/>
          <w:color w:val="auto"/>
          <w:sz w:val="28"/>
          <w:szCs w:val="28"/>
          <w:highlight w:val="none"/>
        </w:rPr>
      </w:pPr>
      <w:r>
        <w:rPr>
          <w:rFonts w:hint="eastAsia"/>
          <w:b/>
          <w:color w:val="auto"/>
          <w:sz w:val="28"/>
          <w:szCs w:val="28"/>
          <w:highlight w:val="none"/>
        </w:rPr>
        <w:t>（二）</w:t>
      </w:r>
      <w:r>
        <w:rPr>
          <w:rFonts w:hint="eastAsia" w:ascii="仿宋_GB2312"/>
          <w:b/>
          <w:color w:val="auto"/>
          <w:sz w:val="28"/>
          <w:szCs w:val="28"/>
          <w:highlight w:val="none"/>
        </w:rPr>
        <w:t>主要结论</w:t>
      </w:r>
    </w:p>
    <w:p>
      <w:pPr>
        <w:spacing w:line="30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通过对</w:t>
      </w:r>
      <w:r>
        <w:rPr>
          <w:rFonts w:hint="eastAsia" w:ascii="仿宋_GB2312" w:eastAsia="仿宋_GB2312"/>
          <w:color w:val="auto"/>
          <w:sz w:val="28"/>
          <w:szCs w:val="28"/>
          <w:highlight w:val="none"/>
          <w:lang w:val="en-US" w:eastAsia="zh-CN"/>
        </w:rPr>
        <w:t>赵寨村</w:t>
      </w:r>
      <w:r>
        <w:rPr>
          <w:rFonts w:hint="eastAsia" w:ascii="仿宋_GB2312" w:eastAsia="仿宋_GB2312"/>
          <w:color w:val="auto"/>
          <w:sz w:val="28"/>
          <w:szCs w:val="28"/>
          <w:highlight w:val="none"/>
        </w:rPr>
        <w:t>农</w:t>
      </w:r>
      <w:r>
        <w:rPr>
          <w:rFonts w:hint="eastAsia" w:ascii="仿宋_GB2312" w:eastAsia="仿宋_GB2312"/>
          <w:color w:val="auto"/>
          <w:sz w:val="28"/>
          <w:szCs w:val="28"/>
          <w:highlight w:val="none"/>
          <w:lang w:val="en-US" w:eastAsia="zh-CN"/>
        </w:rPr>
        <w:t>红道驿站</w:t>
      </w:r>
      <w:r>
        <w:rPr>
          <w:rFonts w:hint="eastAsia" w:ascii="仿宋_GB2312" w:eastAsia="仿宋_GB2312"/>
          <w:color w:val="auto"/>
          <w:sz w:val="28"/>
          <w:szCs w:val="28"/>
          <w:highlight w:val="none"/>
        </w:rPr>
        <w:t>项目财政衔接资金在投入、过程、产出和效果等方面的综合评价，得出如下结论：</w:t>
      </w:r>
    </w:p>
    <w:p>
      <w:pPr>
        <w:spacing w:line="300" w:lineRule="auto"/>
        <w:ind w:firstLine="560" w:firstLineChars="200"/>
        <w:jc w:val="both"/>
        <w:rPr>
          <w:rFonts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赵寨村红道驿站项目</w:t>
      </w:r>
      <w:r>
        <w:rPr>
          <w:rFonts w:hint="eastAsia" w:ascii="仿宋_GB2312" w:eastAsia="仿宋_GB2312"/>
          <w:color w:val="auto"/>
          <w:sz w:val="28"/>
          <w:szCs w:val="28"/>
          <w:highlight w:val="none"/>
        </w:rPr>
        <w:t>的立项，符合国家乡村振兴政策，契合</w:t>
      </w:r>
      <w:r>
        <w:rPr>
          <w:rFonts w:hint="eastAsia" w:ascii="仿宋_GB2312" w:eastAsia="仿宋_GB2312"/>
          <w:color w:val="auto"/>
          <w:sz w:val="28"/>
          <w:szCs w:val="28"/>
          <w:highlight w:val="none"/>
          <w:lang w:val="en-US" w:eastAsia="zh-CN"/>
        </w:rPr>
        <w:t>赵寨</w:t>
      </w:r>
      <w:r>
        <w:rPr>
          <w:rFonts w:hint="eastAsia" w:ascii="仿宋_GB2312" w:eastAsia="仿宋_GB2312"/>
          <w:color w:val="auto"/>
          <w:sz w:val="28"/>
          <w:szCs w:val="28"/>
          <w:highlight w:val="none"/>
        </w:rPr>
        <w:t>村</w:t>
      </w:r>
      <w:r>
        <w:rPr>
          <w:rFonts w:hint="eastAsia" w:ascii="仿宋_GB2312" w:eastAsia="仿宋_GB2312"/>
          <w:color w:val="auto"/>
          <w:sz w:val="28"/>
          <w:szCs w:val="28"/>
          <w:highlight w:val="none"/>
          <w:lang w:val="en-US" w:eastAsia="zh-CN"/>
        </w:rPr>
        <w:t>农村发展</w:t>
      </w:r>
      <w:r>
        <w:rPr>
          <w:rFonts w:hint="eastAsia" w:ascii="仿宋_GB2312" w:eastAsia="仿宋_GB2312"/>
          <w:color w:val="auto"/>
          <w:sz w:val="28"/>
          <w:szCs w:val="28"/>
          <w:highlight w:val="none"/>
        </w:rPr>
        <w:t>的实际情况。项目所设定的绩效目标依据充分，符合客观事实；根据绩效目标设定的绩效指标较为明确。</w:t>
      </w:r>
    </w:p>
    <w:p>
      <w:pPr>
        <w:spacing w:line="300" w:lineRule="auto"/>
        <w:ind w:firstLine="560" w:firstLineChars="200"/>
        <w:jc w:val="both"/>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2、项目在工程管理、财务管理等方面，基本符合国家政策要求。</w:t>
      </w:r>
      <w:r>
        <w:rPr>
          <w:rFonts w:hint="eastAsia" w:ascii="仿宋_GB2312" w:eastAsia="仿宋_GB2312"/>
          <w:color w:val="auto"/>
          <w:sz w:val="28"/>
          <w:szCs w:val="28"/>
          <w:highlight w:val="none"/>
          <w:lang w:val="en-US" w:eastAsia="zh-CN"/>
        </w:rPr>
        <w:t>但是没有实行监理制度，也没有提供后期管护资料或移交村级管理</w:t>
      </w:r>
      <w:r>
        <w:rPr>
          <w:rFonts w:hint="eastAsia" w:ascii="仿宋_GB2312" w:eastAsia="仿宋_GB2312"/>
          <w:color w:val="auto"/>
          <w:sz w:val="28"/>
          <w:szCs w:val="28"/>
          <w:highlight w:val="none"/>
        </w:rPr>
        <w:t>。</w:t>
      </w:r>
    </w:p>
    <w:p>
      <w:pPr>
        <w:spacing w:line="300" w:lineRule="auto"/>
        <w:ind w:firstLine="562" w:firstLineChars="200"/>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四</w:t>
      </w:r>
      <w:r>
        <w:rPr>
          <w:rFonts w:hint="eastAsia" w:ascii="宋体" w:hAnsi="宋体" w:eastAsia="宋体" w:cs="宋体"/>
          <w:b/>
          <w:bCs/>
          <w:color w:val="auto"/>
          <w:sz w:val="28"/>
          <w:szCs w:val="28"/>
          <w:highlight w:val="none"/>
        </w:rPr>
        <w:t>、项目</w:t>
      </w:r>
      <w:r>
        <w:rPr>
          <w:rFonts w:hint="eastAsia" w:ascii="宋体" w:hAnsi="宋体" w:eastAsia="宋体" w:cs="宋体"/>
          <w:b/>
          <w:color w:val="auto"/>
          <w:sz w:val="28"/>
          <w:szCs w:val="28"/>
          <w:highlight w:val="none"/>
        </w:rPr>
        <w:t>主要经验、存在的问题和建议</w:t>
      </w:r>
    </w:p>
    <w:p>
      <w:pPr>
        <w:spacing w:line="300" w:lineRule="auto"/>
        <w:ind w:firstLine="540" w:firstLineChars="192"/>
        <w:outlineLvl w:val="9"/>
        <w:rPr>
          <w:rFonts w:ascii="仿宋_GB2312"/>
          <w:b/>
          <w:color w:val="auto"/>
          <w:sz w:val="28"/>
          <w:szCs w:val="28"/>
          <w:highlight w:val="none"/>
        </w:rPr>
      </w:pPr>
      <w:r>
        <w:rPr>
          <w:rFonts w:hint="eastAsia"/>
          <w:b/>
          <w:bCs/>
          <w:color w:val="auto"/>
          <w:sz w:val="28"/>
          <w:szCs w:val="28"/>
          <w:highlight w:val="none"/>
        </w:rPr>
        <w:t>（一）</w:t>
      </w:r>
      <w:r>
        <w:rPr>
          <w:rFonts w:hint="eastAsia" w:ascii="仿宋_GB2312"/>
          <w:b/>
          <w:color w:val="auto"/>
          <w:sz w:val="28"/>
          <w:szCs w:val="28"/>
          <w:highlight w:val="none"/>
        </w:rPr>
        <w:t>主要经验和做法</w:t>
      </w:r>
    </w:p>
    <w:p>
      <w:pPr>
        <w:spacing w:line="300" w:lineRule="auto"/>
        <w:ind w:firstLine="537" w:firstLineChars="192"/>
        <w:rPr>
          <w:rFonts w:ascii="仿宋_GB2312" w:eastAsia="仿宋_GB2312"/>
          <w:color w:val="auto"/>
          <w:sz w:val="28"/>
          <w:szCs w:val="28"/>
          <w:highlight w:val="none"/>
        </w:rPr>
      </w:pPr>
      <w:r>
        <w:rPr>
          <w:rFonts w:hint="eastAsia" w:ascii="仿宋_GB2312" w:eastAsia="仿宋_GB2312"/>
          <w:color w:val="auto"/>
          <w:sz w:val="28"/>
          <w:szCs w:val="28"/>
          <w:highlight w:val="none"/>
        </w:rPr>
        <w:t>一是项目前期准备充分。在申报</w:t>
      </w:r>
      <w:r>
        <w:rPr>
          <w:rFonts w:hint="eastAsia" w:ascii="仿宋_GB2312" w:eastAsia="仿宋_GB2312"/>
          <w:color w:val="auto"/>
          <w:sz w:val="28"/>
          <w:szCs w:val="28"/>
          <w:highlight w:val="none"/>
          <w:lang w:val="en-US" w:eastAsia="zh-CN"/>
        </w:rPr>
        <w:t>赵寨村红道驿站</w:t>
      </w:r>
      <w:r>
        <w:rPr>
          <w:rFonts w:hint="eastAsia" w:ascii="仿宋_GB2312" w:eastAsia="仿宋_GB2312"/>
          <w:color w:val="auto"/>
          <w:sz w:val="28"/>
          <w:szCs w:val="28"/>
          <w:highlight w:val="none"/>
        </w:rPr>
        <w:t>项目前，</w:t>
      </w:r>
      <w:r>
        <w:rPr>
          <w:rFonts w:hint="eastAsia" w:ascii="仿宋_GB2312" w:eastAsia="仿宋_GB2312"/>
          <w:color w:val="auto"/>
          <w:sz w:val="28"/>
          <w:szCs w:val="28"/>
          <w:highlight w:val="none"/>
          <w:lang w:val="en-US" w:eastAsia="zh-CN"/>
        </w:rPr>
        <w:t>赵寨村</w:t>
      </w:r>
      <w:r>
        <w:rPr>
          <w:rFonts w:hint="eastAsia" w:ascii="仿宋_GB2312" w:eastAsia="仿宋_GB2312"/>
          <w:color w:val="auto"/>
          <w:sz w:val="28"/>
          <w:szCs w:val="28"/>
          <w:highlight w:val="none"/>
        </w:rPr>
        <w:t>严格执行了“四议两公开”的程序，让项目获得了群众极大的认同感，有广泛的群众基础。且经过“两上两下”的流程，让项目获得财政衔接资金符合国家的产业政策。</w:t>
      </w:r>
    </w:p>
    <w:p>
      <w:pPr>
        <w:spacing w:line="300" w:lineRule="auto"/>
        <w:ind w:firstLine="537" w:firstLineChars="192"/>
        <w:rPr>
          <w:rFonts w:ascii="仿宋_GB2312" w:eastAsia="仿宋_GB2312"/>
          <w:color w:val="auto"/>
          <w:sz w:val="28"/>
          <w:szCs w:val="28"/>
          <w:highlight w:val="none"/>
        </w:rPr>
      </w:pPr>
      <w:r>
        <w:rPr>
          <w:rFonts w:hint="eastAsia" w:ascii="仿宋_GB2312" w:eastAsia="仿宋_GB2312"/>
          <w:color w:val="auto"/>
          <w:sz w:val="28"/>
          <w:szCs w:val="28"/>
          <w:highlight w:val="none"/>
        </w:rPr>
        <w:t>二是临空区财金局高度重视项目绩效管理。对</w:t>
      </w:r>
      <w:r>
        <w:rPr>
          <w:rFonts w:hint="eastAsia" w:ascii="仿宋_GB2312" w:eastAsia="仿宋_GB2312"/>
          <w:color w:val="auto"/>
          <w:sz w:val="28"/>
          <w:szCs w:val="28"/>
          <w:highlight w:val="none"/>
          <w:lang w:val="en-US" w:eastAsia="zh-CN"/>
        </w:rPr>
        <w:t>于</w:t>
      </w:r>
      <w:r>
        <w:rPr>
          <w:rFonts w:hint="eastAsia" w:ascii="仿宋_GB2312" w:eastAsia="仿宋_GB2312"/>
          <w:color w:val="auto"/>
          <w:sz w:val="28"/>
          <w:szCs w:val="28"/>
          <w:highlight w:val="none"/>
        </w:rPr>
        <w:t>上报的项目绩效进行审核和批复，并按规定进行公示，确保项目绩效设置比较合理、方便考核。</w:t>
      </w:r>
    </w:p>
    <w:p>
      <w:pPr>
        <w:spacing w:line="300" w:lineRule="auto"/>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三是项目单位按照《实施方案》的要求，规范实施程序。</w:t>
      </w:r>
      <w:r>
        <w:rPr>
          <w:rFonts w:hint="eastAsia" w:ascii="仿宋_GB2312" w:eastAsia="仿宋_GB2312"/>
          <w:color w:val="auto"/>
          <w:sz w:val="28"/>
          <w:szCs w:val="28"/>
          <w:highlight w:val="none"/>
          <w:lang w:val="en-US" w:eastAsia="zh-CN"/>
        </w:rPr>
        <w:t>赵寨村</w:t>
      </w:r>
      <w:r>
        <w:rPr>
          <w:rFonts w:hint="eastAsia" w:ascii="仿宋_GB2312" w:eastAsia="仿宋_GB2312"/>
          <w:color w:val="auto"/>
          <w:sz w:val="28"/>
          <w:szCs w:val="28"/>
          <w:highlight w:val="none"/>
        </w:rPr>
        <w:t>村</w:t>
      </w:r>
      <w:r>
        <w:rPr>
          <w:rFonts w:hint="eastAsia" w:ascii="仿宋_GB2312" w:eastAsia="仿宋_GB2312"/>
          <w:color w:val="auto"/>
          <w:sz w:val="28"/>
          <w:szCs w:val="28"/>
          <w:highlight w:val="none"/>
          <w:lang w:val="en-US" w:eastAsia="zh-CN"/>
        </w:rPr>
        <w:t>红道驿站</w:t>
      </w:r>
      <w:r>
        <w:rPr>
          <w:rFonts w:hint="eastAsia" w:ascii="仿宋_GB2312" w:eastAsia="仿宋_GB2312"/>
          <w:color w:val="auto"/>
          <w:sz w:val="28"/>
          <w:szCs w:val="28"/>
          <w:highlight w:val="none"/>
        </w:rPr>
        <w:t>项目得到区级批复后，</w:t>
      </w:r>
      <w:r>
        <w:rPr>
          <w:rFonts w:hint="eastAsia" w:ascii="仿宋_GB2312" w:eastAsia="仿宋_GB2312"/>
          <w:color w:val="auto"/>
          <w:sz w:val="28"/>
          <w:szCs w:val="28"/>
          <w:highlight w:val="none"/>
          <w:lang w:val="en-US" w:eastAsia="zh-CN"/>
        </w:rPr>
        <w:t>赵寨</w:t>
      </w:r>
      <w:r>
        <w:rPr>
          <w:rFonts w:hint="eastAsia" w:ascii="仿宋_GB2312" w:eastAsia="仿宋_GB2312"/>
          <w:color w:val="auto"/>
          <w:sz w:val="28"/>
          <w:szCs w:val="28"/>
          <w:highlight w:val="none"/>
        </w:rPr>
        <w:t>村立即启动项目招标，选择施工队伍。同时，为规范项目质量，对项目实行合同制和竣工结算等管理制度。</w:t>
      </w:r>
    </w:p>
    <w:p>
      <w:pPr>
        <w:spacing w:line="300" w:lineRule="auto"/>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四是逐层申报项目资金。项目实施过程中，采取“村申请、乡审核、区主管部门申报、管委会批准”的方式，下拨项目资金，确保资金按进度拨付，按渠道使用。</w:t>
      </w:r>
    </w:p>
    <w:p>
      <w:pPr>
        <w:numPr>
          <w:ilvl w:val="0"/>
          <w:numId w:val="0"/>
        </w:numPr>
        <w:spacing w:line="300" w:lineRule="auto"/>
        <w:ind w:firstLine="540" w:firstLineChars="192"/>
        <w:outlineLvl w:val="9"/>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w:t>
      </w:r>
      <w:r>
        <w:rPr>
          <w:rFonts w:hint="eastAsia" w:ascii="宋体" w:hAnsi="宋体" w:eastAsia="宋体" w:cs="宋体"/>
          <w:b/>
          <w:bCs/>
          <w:color w:val="auto"/>
          <w:sz w:val="28"/>
          <w:szCs w:val="28"/>
          <w:highlight w:val="none"/>
        </w:rPr>
        <w:t>存在的主要问题</w:t>
      </w:r>
    </w:p>
    <w:p>
      <w:pPr>
        <w:numPr>
          <w:ilvl w:val="0"/>
          <w:numId w:val="0"/>
        </w:numPr>
        <w:spacing w:line="300" w:lineRule="auto"/>
        <w:ind w:firstLine="560" w:firstLineChars="200"/>
        <w:rPr>
          <w:rFonts w:hint="eastAsia" w:ascii="仿宋_GB2312" w:hAnsi="Times New Roman" w:eastAsia="仿宋_GB2312" w:cs="Times New Roman"/>
          <w:b w:val="0"/>
          <w:bCs w:val="0"/>
          <w:color w:val="auto"/>
          <w:kern w:val="2"/>
          <w:sz w:val="28"/>
          <w:szCs w:val="28"/>
          <w:highlight w:val="none"/>
          <w:lang w:val="en-US" w:eastAsia="zh-CN" w:bidi="ar-SA"/>
        </w:rPr>
      </w:pPr>
      <w:r>
        <w:rPr>
          <w:rFonts w:hint="eastAsia" w:ascii="仿宋_GB2312" w:hAnsi="Times New Roman" w:eastAsia="仿宋_GB2312" w:cs="Times New Roman"/>
          <w:b w:val="0"/>
          <w:bCs w:val="0"/>
          <w:color w:val="auto"/>
          <w:kern w:val="2"/>
          <w:sz w:val="28"/>
          <w:szCs w:val="28"/>
          <w:highlight w:val="none"/>
          <w:lang w:val="en-US" w:eastAsia="zh-CN" w:bidi="ar-SA"/>
        </w:rPr>
        <w:t>1、</w:t>
      </w:r>
      <w:r>
        <w:rPr>
          <w:rFonts w:hint="eastAsia" w:ascii="仿宋_GB2312" w:eastAsia="仿宋_GB2312" w:cs="Times New Roman"/>
          <w:b w:val="0"/>
          <w:bCs w:val="0"/>
          <w:color w:val="auto"/>
          <w:kern w:val="2"/>
          <w:sz w:val="28"/>
          <w:szCs w:val="28"/>
          <w:highlight w:val="none"/>
          <w:lang w:val="en-US" w:eastAsia="zh-CN" w:bidi="ar-SA"/>
        </w:rPr>
        <w:t>未按合同</w:t>
      </w:r>
      <w:r>
        <w:rPr>
          <w:rFonts w:hint="eastAsia" w:ascii="仿宋_GB2312" w:hAnsi="Times New Roman" w:eastAsia="仿宋_GB2312" w:cs="Times New Roman"/>
          <w:b w:val="0"/>
          <w:bCs w:val="0"/>
          <w:color w:val="auto"/>
          <w:kern w:val="2"/>
          <w:sz w:val="28"/>
          <w:szCs w:val="28"/>
          <w:highlight w:val="none"/>
          <w:lang w:val="en-US" w:eastAsia="zh-CN" w:bidi="ar-SA"/>
        </w:rPr>
        <w:t>约定</w:t>
      </w:r>
      <w:r>
        <w:rPr>
          <w:rFonts w:hint="eastAsia" w:ascii="仿宋_GB2312" w:eastAsia="仿宋_GB2312" w:cs="Times New Roman"/>
          <w:b w:val="0"/>
          <w:bCs w:val="0"/>
          <w:color w:val="auto"/>
          <w:kern w:val="2"/>
          <w:sz w:val="28"/>
          <w:szCs w:val="28"/>
          <w:highlight w:val="none"/>
          <w:lang w:val="en-US" w:eastAsia="zh-CN" w:bidi="ar-SA"/>
        </w:rPr>
        <w:t>预留</w:t>
      </w:r>
      <w:r>
        <w:rPr>
          <w:rFonts w:hint="eastAsia" w:ascii="仿宋_GB2312" w:hAnsi="Times New Roman" w:eastAsia="仿宋_GB2312" w:cs="Times New Roman"/>
          <w:b w:val="0"/>
          <w:bCs w:val="0"/>
          <w:color w:val="auto"/>
          <w:kern w:val="2"/>
          <w:sz w:val="28"/>
          <w:szCs w:val="28"/>
          <w:highlight w:val="none"/>
          <w:lang w:val="en-US" w:eastAsia="zh-CN" w:bidi="ar-SA"/>
        </w:rPr>
        <w:t>质保金11,993.35元</w:t>
      </w:r>
      <w:r>
        <w:rPr>
          <w:rFonts w:hint="eastAsia" w:ascii="仿宋_GB2312" w:eastAsia="仿宋_GB2312" w:cs="Times New Roman"/>
          <w:b w:val="0"/>
          <w:bCs w:val="0"/>
          <w:color w:val="auto"/>
          <w:kern w:val="2"/>
          <w:sz w:val="28"/>
          <w:szCs w:val="28"/>
          <w:highlight w:val="none"/>
          <w:lang w:val="en-US" w:eastAsia="zh-CN" w:bidi="ar-SA"/>
        </w:rPr>
        <w:t>。</w:t>
      </w:r>
      <w:r>
        <w:rPr>
          <w:rFonts w:hint="eastAsia" w:ascii="仿宋_GB2312" w:hAnsi="Times New Roman" w:eastAsia="仿宋_GB2312" w:cs="Times New Roman"/>
          <w:b w:val="0"/>
          <w:bCs w:val="0"/>
          <w:color w:val="auto"/>
          <w:kern w:val="2"/>
          <w:sz w:val="28"/>
          <w:szCs w:val="28"/>
          <w:highlight w:val="none"/>
          <w:lang w:val="en-US" w:eastAsia="zh-CN" w:bidi="ar-SA"/>
        </w:rPr>
        <w:t>赵寨村与湖北锦昶建设有限公司签订的《工程施工合同》约定：余下5%部分1年质保期到期支付</w:t>
      </w:r>
      <w:r>
        <w:rPr>
          <w:rFonts w:hint="eastAsia" w:ascii="仿宋_GB2312" w:eastAsia="仿宋_GB2312" w:cs="Times New Roman"/>
          <w:b w:val="0"/>
          <w:bCs w:val="0"/>
          <w:color w:val="auto"/>
          <w:kern w:val="2"/>
          <w:sz w:val="28"/>
          <w:szCs w:val="28"/>
          <w:highlight w:val="none"/>
          <w:lang w:val="en-US" w:eastAsia="zh-CN" w:bidi="ar-SA"/>
        </w:rPr>
        <w:t>。经审查：工程审定投资金额为239,867.07元，应预留</w:t>
      </w:r>
      <w:r>
        <w:rPr>
          <w:rFonts w:hint="eastAsia" w:ascii="仿宋_GB2312" w:hAnsi="Times New Roman" w:eastAsia="仿宋_GB2312" w:cs="Times New Roman"/>
          <w:b w:val="0"/>
          <w:bCs w:val="0"/>
          <w:color w:val="auto"/>
          <w:kern w:val="2"/>
          <w:sz w:val="28"/>
          <w:szCs w:val="28"/>
          <w:highlight w:val="none"/>
          <w:lang w:val="en-US" w:eastAsia="zh-CN" w:bidi="ar-SA"/>
        </w:rPr>
        <w:t>质保金11,993.35元</w:t>
      </w:r>
      <w:r>
        <w:rPr>
          <w:rFonts w:hint="eastAsia" w:ascii="仿宋_GB2312" w:eastAsia="仿宋_GB2312" w:cs="Times New Roman"/>
          <w:b w:val="0"/>
          <w:bCs w:val="0"/>
          <w:color w:val="auto"/>
          <w:kern w:val="2"/>
          <w:sz w:val="28"/>
          <w:szCs w:val="28"/>
          <w:highlight w:val="none"/>
          <w:lang w:val="en-US" w:eastAsia="zh-CN" w:bidi="ar-SA"/>
        </w:rPr>
        <w:t>。该项目</w:t>
      </w:r>
      <w:r>
        <w:rPr>
          <w:rFonts w:hint="eastAsia" w:ascii="仿宋_GB2312" w:hAnsi="Times New Roman" w:eastAsia="仿宋_GB2312" w:cs="Times New Roman"/>
          <w:b w:val="0"/>
          <w:bCs w:val="0"/>
          <w:color w:val="auto"/>
          <w:kern w:val="2"/>
          <w:sz w:val="28"/>
          <w:szCs w:val="28"/>
          <w:highlight w:val="none"/>
          <w:lang w:val="en-US" w:eastAsia="zh-CN" w:bidi="ar-SA"/>
        </w:rPr>
        <w:t>竣工时间为2023年9月19日，但是在2023年11月09日已全部支付。</w:t>
      </w:r>
    </w:p>
    <w:p>
      <w:pPr>
        <w:numPr>
          <w:ilvl w:val="0"/>
          <w:numId w:val="0"/>
        </w:numPr>
        <w:spacing w:line="300" w:lineRule="auto"/>
        <w:ind w:firstLine="560" w:firstLineChars="200"/>
        <w:rPr>
          <w:rFonts w:hint="eastAsia"/>
          <w:color w:val="auto"/>
          <w:highlight w:val="none"/>
          <w:lang w:val="en-US" w:eastAsia="zh-CN"/>
        </w:rPr>
      </w:pPr>
      <w:r>
        <w:rPr>
          <w:rFonts w:hint="eastAsia" w:ascii="仿宋_GB2312" w:eastAsia="仿宋_GB2312" w:cs="Times New Roman"/>
          <w:b w:val="0"/>
          <w:bCs w:val="0"/>
          <w:color w:val="auto"/>
          <w:kern w:val="2"/>
          <w:sz w:val="28"/>
          <w:szCs w:val="28"/>
          <w:highlight w:val="none"/>
          <w:lang w:val="en-US" w:eastAsia="zh-CN" w:bidi="ar-SA"/>
        </w:rPr>
        <w:t>2、</w:t>
      </w:r>
      <w:r>
        <w:rPr>
          <w:rFonts w:hint="eastAsia" w:ascii="仿宋_GB2312" w:eastAsia="仿宋_GB2312"/>
          <w:color w:val="auto"/>
          <w:sz w:val="28"/>
          <w:szCs w:val="28"/>
          <w:highlight w:val="none"/>
          <w:lang w:val="en-US" w:eastAsia="zh-CN"/>
        </w:rPr>
        <w:t>赵寨村</w:t>
      </w:r>
      <w:r>
        <w:rPr>
          <w:rFonts w:hint="eastAsia" w:ascii="仿宋_GB2312" w:eastAsia="仿宋_GB2312"/>
          <w:color w:val="auto"/>
          <w:sz w:val="28"/>
          <w:szCs w:val="28"/>
          <w:highlight w:val="none"/>
        </w:rPr>
        <w:t>支付第一笔进度款</w:t>
      </w:r>
      <w:r>
        <w:rPr>
          <w:rFonts w:hint="eastAsia" w:ascii="仿宋_GB2312" w:eastAsia="仿宋_GB2312" w:cs="Times New Roman"/>
          <w:b w:val="0"/>
          <w:bCs w:val="0"/>
          <w:color w:val="auto"/>
          <w:kern w:val="2"/>
          <w:sz w:val="28"/>
          <w:szCs w:val="28"/>
          <w:highlight w:val="none"/>
          <w:lang w:val="en-US" w:eastAsia="zh-CN" w:bidi="ar-SA"/>
        </w:rPr>
        <w:t>100,000.00元</w:t>
      </w:r>
      <w:r>
        <w:rPr>
          <w:rFonts w:hint="eastAsia" w:ascii="仿宋_GB2312" w:eastAsia="仿宋_GB2312"/>
          <w:color w:val="auto"/>
          <w:sz w:val="28"/>
          <w:szCs w:val="28"/>
          <w:highlight w:val="none"/>
        </w:rPr>
        <w:t>，未见完工进度证明。</w:t>
      </w:r>
      <w:r>
        <w:rPr>
          <w:rFonts w:hint="eastAsia" w:ascii="仿宋_GB2312" w:hAnsi="Times New Roman" w:eastAsia="仿宋_GB2312" w:cs="Times New Roman"/>
          <w:b w:val="0"/>
          <w:bCs w:val="0"/>
          <w:color w:val="auto"/>
          <w:kern w:val="2"/>
          <w:sz w:val="28"/>
          <w:szCs w:val="28"/>
          <w:highlight w:val="none"/>
          <w:lang w:val="en-US" w:eastAsia="zh-CN" w:bidi="ar-SA"/>
        </w:rPr>
        <w:t>赵寨村与湖北锦昶建设有限公司签订的《工程施工合同》约定：工程主要材料进场10天后，支付到合同价30%，</w:t>
      </w:r>
      <w:r>
        <w:rPr>
          <w:rFonts w:hint="eastAsia" w:ascii="仿宋_GB2312" w:eastAsia="仿宋_GB2312"/>
          <w:color w:val="auto"/>
          <w:sz w:val="28"/>
          <w:szCs w:val="28"/>
          <w:highlight w:val="none"/>
        </w:rPr>
        <w:t>经查：拨付</w:t>
      </w:r>
      <w:r>
        <w:rPr>
          <w:rFonts w:hint="eastAsia" w:ascii="仿宋_GB2312" w:eastAsia="仿宋_GB2312" w:cs="Times New Roman"/>
          <w:b w:val="0"/>
          <w:bCs w:val="0"/>
          <w:color w:val="auto"/>
          <w:kern w:val="2"/>
          <w:sz w:val="28"/>
          <w:szCs w:val="28"/>
          <w:highlight w:val="none"/>
          <w:lang w:val="en-US" w:eastAsia="zh-CN" w:bidi="ar-SA"/>
        </w:rPr>
        <w:t>100,000.00</w:t>
      </w:r>
      <w:r>
        <w:rPr>
          <w:rFonts w:hint="eastAsia" w:ascii="仿宋_GB2312" w:eastAsia="仿宋_GB2312"/>
          <w:color w:val="auto"/>
          <w:sz w:val="28"/>
          <w:szCs w:val="28"/>
          <w:highlight w:val="none"/>
        </w:rPr>
        <w:t>元进度款时，未付拨款依据“完工进度”证明</w:t>
      </w:r>
      <w:r>
        <w:rPr>
          <w:rFonts w:hint="eastAsia" w:ascii="仿宋_GB2312" w:eastAsia="仿宋_GB2312"/>
          <w:color w:val="auto"/>
          <w:sz w:val="28"/>
          <w:szCs w:val="28"/>
          <w:highlight w:val="none"/>
          <w:lang w:eastAsia="zh-CN"/>
        </w:rPr>
        <w:t>。</w:t>
      </w:r>
    </w:p>
    <w:p>
      <w:pPr>
        <w:spacing w:line="300" w:lineRule="auto"/>
        <w:ind w:firstLine="537" w:firstLineChars="192"/>
        <w:jc w:val="both"/>
        <w:rPr>
          <w:rFonts w:hint="default" w:ascii="仿宋_GB2312" w:hAnsi="Times New Roman" w:eastAsia="仿宋_GB2312" w:cs="Times New Roman"/>
          <w:b w:val="0"/>
          <w:bCs w:val="0"/>
          <w:color w:val="auto"/>
          <w:kern w:val="2"/>
          <w:sz w:val="28"/>
          <w:szCs w:val="28"/>
          <w:highlight w:val="none"/>
          <w:lang w:val="en-US" w:eastAsia="zh-CN" w:bidi="ar-SA"/>
        </w:rPr>
      </w:pPr>
      <w:r>
        <w:rPr>
          <w:rFonts w:hint="eastAsia" w:ascii="仿宋_GB2312" w:eastAsia="仿宋_GB2312"/>
          <w:color w:val="auto"/>
          <w:sz w:val="28"/>
          <w:szCs w:val="28"/>
          <w:highlight w:val="none"/>
          <w:lang w:val="en-US" w:eastAsia="zh-CN"/>
        </w:rPr>
        <w:t>3、未提供赵寨村红道驿站目的管护合同。在绩效评价过程中，赵寨村未提供红道驿站后期的管护协议。</w:t>
      </w:r>
    </w:p>
    <w:p>
      <w:pPr>
        <w:spacing w:line="300" w:lineRule="auto"/>
        <w:ind w:firstLine="540" w:firstLineChars="192"/>
        <w:outlineLvl w:val="9"/>
        <w:rPr>
          <w:b/>
          <w:bCs/>
          <w:color w:val="auto"/>
          <w:sz w:val="28"/>
          <w:szCs w:val="28"/>
          <w:highlight w:val="none"/>
        </w:rPr>
      </w:pPr>
      <w:r>
        <w:rPr>
          <w:rFonts w:hint="eastAsia"/>
          <w:b/>
          <w:bCs/>
          <w:color w:val="auto"/>
          <w:sz w:val="28"/>
          <w:szCs w:val="28"/>
          <w:highlight w:val="none"/>
        </w:rPr>
        <w:t>（三）建议及改进措施</w:t>
      </w:r>
    </w:p>
    <w:p>
      <w:pPr>
        <w:spacing w:line="300" w:lineRule="auto"/>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hAnsi="Times New Roman" w:eastAsia="仿宋_GB2312" w:cs="Times New Roman"/>
          <w:b w:val="0"/>
          <w:bCs w:val="0"/>
          <w:color w:val="auto"/>
          <w:kern w:val="2"/>
          <w:sz w:val="28"/>
          <w:szCs w:val="28"/>
          <w:highlight w:val="none"/>
          <w:lang w:val="en-US" w:eastAsia="zh-CN" w:bidi="ar-SA"/>
        </w:rPr>
        <w:t>明确质保金支付时点。严格按照规定程序操作，加强监督管理，规范工程质量保证金的预留，避免类似问题再次发生。</w:t>
      </w:r>
    </w:p>
    <w:p>
      <w:pPr>
        <w:spacing w:line="300" w:lineRule="auto"/>
        <w:ind w:firstLine="560" w:firstLineChars="200"/>
        <w:rPr>
          <w:rFonts w:hint="default" w:ascii="仿宋_GB2312" w:hAnsi="Times New Roman" w:eastAsia="仿宋_GB2312" w:cs="Times New Roman"/>
          <w:b w:val="0"/>
          <w:bCs w:val="0"/>
          <w:color w:val="auto"/>
          <w:kern w:val="2"/>
          <w:sz w:val="28"/>
          <w:szCs w:val="28"/>
          <w:highlight w:val="none"/>
          <w:lang w:val="en-US" w:eastAsia="zh-CN" w:bidi="ar-SA"/>
        </w:rPr>
      </w:pPr>
      <w:r>
        <w:rPr>
          <w:rFonts w:hint="eastAsia" w:ascii="仿宋_GB2312" w:hAnsi="Times New Roman" w:eastAsia="仿宋_GB2312" w:cs="Times New Roman"/>
          <w:b w:val="0"/>
          <w:bCs w:val="0"/>
          <w:color w:val="auto"/>
          <w:kern w:val="2"/>
          <w:sz w:val="28"/>
          <w:szCs w:val="28"/>
          <w:highlight w:val="none"/>
          <w:lang w:val="en-US" w:eastAsia="zh-CN" w:bidi="ar-SA"/>
        </w:rPr>
        <w:t>2、</w:t>
      </w:r>
      <w:r>
        <w:rPr>
          <w:rFonts w:hint="eastAsia" w:ascii="仿宋_GB2312" w:eastAsia="仿宋_GB2312"/>
          <w:color w:val="auto"/>
          <w:sz w:val="28"/>
          <w:szCs w:val="28"/>
          <w:highlight w:val="none"/>
        </w:rPr>
        <w:t>收齐附件资料。在支付项目资金时，必须收集证明材料，保证附件资料的证明力。</w:t>
      </w:r>
    </w:p>
    <w:p>
      <w:pPr>
        <w:spacing w:line="300" w:lineRule="auto"/>
        <w:ind w:firstLine="560" w:firstLineChars="200"/>
        <w:rPr>
          <w:rFonts w:hint="eastAsia" w:ascii="仿宋_GB2312" w:hAnsi="Times New Roman" w:eastAsia="仿宋_GB2312" w:cs="Times New Roman"/>
          <w:b w:val="0"/>
          <w:bCs w:val="0"/>
          <w:color w:val="auto"/>
          <w:kern w:val="2"/>
          <w:sz w:val="28"/>
          <w:szCs w:val="28"/>
          <w:highlight w:val="none"/>
          <w:lang w:val="en-US" w:eastAsia="zh-CN" w:bidi="ar-SA"/>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w:t>
      </w:r>
      <w:r>
        <w:rPr>
          <w:rFonts w:hint="eastAsia" w:ascii="仿宋_GB2312" w:hAnsi="Times New Roman" w:eastAsia="仿宋_GB2312" w:cs="Times New Roman"/>
          <w:b w:val="0"/>
          <w:bCs w:val="0"/>
          <w:color w:val="auto"/>
          <w:kern w:val="2"/>
          <w:sz w:val="28"/>
          <w:szCs w:val="28"/>
          <w:highlight w:val="none"/>
          <w:lang w:val="en-US" w:eastAsia="zh-CN" w:bidi="ar-SA"/>
        </w:rPr>
        <w:t>为保证财政衔接资金项目绩效，为赵寨村红道驿站项目发挥长效作用，赵寨村要做好项目“管”的后半篇文章，做好项目的管护工作。</w:t>
      </w:r>
    </w:p>
    <w:p>
      <w:pPr>
        <w:spacing w:line="300" w:lineRule="auto"/>
        <w:ind w:firstLine="560" w:firstLineChars="200"/>
        <w:rPr>
          <w:rFonts w:hint="eastAsia" w:ascii="仿宋_GB2312" w:hAnsi="Times New Roman" w:eastAsia="仿宋_GB2312" w:cs="Times New Roman"/>
          <w:b w:val="0"/>
          <w:bCs w:val="0"/>
          <w:color w:val="auto"/>
          <w:kern w:val="2"/>
          <w:sz w:val="28"/>
          <w:szCs w:val="28"/>
          <w:highlight w:val="none"/>
          <w:lang w:val="en-US" w:eastAsia="zh-CN" w:bidi="ar-SA"/>
        </w:rPr>
      </w:pPr>
    </w:p>
    <w:p>
      <w:pPr>
        <w:pStyle w:val="2"/>
        <w:outlineLvl w:val="9"/>
        <w:rPr>
          <w:rFonts w:hint="eastAsia" w:ascii="仿宋_GB2312" w:hAnsi="Times New Roman" w:eastAsia="仿宋_GB2312" w:cs="Times New Roman"/>
          <w:b w:val="0"/>
          <w:bCs w:val="0"/>
          <w:color w:val="auto"/>
          <w:kern w:val="2"/>
          <w:sz w:val="28"/>
          <w:szCs w:val="28"/>
          <w:highlight w:val="none"/>
          <w:lang w:val="en-US" w:eastAsia="zh-CN" w:bidi="ar-SA"/>
        </w:rPr>
      </w:pPr>
    </w:p>
    <w:p>
      <w:pPr>
        <w:rPr>
          <w:rFonts w:hint="eastAsia" w:ascii="仿宋_GB2312" w:hAnsi="Times New Roman" w:eastAsia="仿宋_GB2312" w:cs="Times New Roman"/>
          <w:b w:val="0"/>
          <w:bCs w:val="0"/>
          <w:color w:val="auto"/>
          <w:kern w:val="2"/>
          <w:sz w:val="28"/>
          <w:szCs w:val="28"/>
          <w:highlight w:val="none"/>
          <w:lang w:val="en-US" w:eastAsia="zh-CN" w:bidi="ar-SA"/>
        </w:rPr>
      </w:pPr>
    </w:p>
    <w:p>
      <w:pPr>
        <w:pStyle w:val="2"/>
        <w:outlineLvl w:val="9"/>
        <w:rPr>
          <w:rFonts w:hint="eastAsia" w:ascii="仿宋_GB2312" w:hAnsi="Times New Roman" w:eastAsia="仿宋_GB2312" w:cs="Times New Roman"/>
          <w:b w:val="0"/>
          <w:bCs w:val="0"/>
          <w:color w:val="auto"/>
          <w:kern w:val="2"/>
          <w:sz w:val="28"/>
          <w:szCs w:val="28"/>
          <w:highlight w:val="none"/>
          <w:lang w:val="en-US" w:eastAsia="zh-CN" w:bidi="ar-SA"/>
        </w:rPr>
      </w:pPr>
    </w:p>
    <w:p>
      <w:pPr>
        <w:widowControl/>
        <w:spacing w:line="300" w:lineRule="auto"/>
        <w:ind w:firstLine="2240" w:firstLineChars="800"/>
        <w:jc w:val="left"/>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 xml:space="preserve">  湖北众信会计师事务有限公司</w:t>
      </w:r>
    </w:p>
    <w:p>
      <w:pPr>
        <w:widowControl/>
        <w:spacing w:line="300" w:lineRule="auto"/>
        <w:ind w:firstLine="2240" w:firstLineChars="800"/>
        <w:jc w:val="left"/>
        <w:rPr>
          <w:color w:val="auto"/>
          <w:sz w:val="28"/>
          <w:szCs w:val="28"/>
          <w:highlight w:val="none"/>
        </w:rPr>
      </w:pPr>
      <w:r>
        <w:rPr>
          <w:rFonts w:hint="eastAsia" w:ascii="仿宋_GB2312" w:hAnsi="宋体" w:eastAsia="仿宋_GB2312" w:cs="Times New Roman"/>
          <w:color w:val="auto"/>
          <w:sz w:val="28"/>
          <w:szCs w:val="28"/>
          <w:highlight w:val="none"/>
          <w:lang w:val="en-US" w:eastAsia="zh-CN"/>
        </w:rPr>
        <w:t xml:space="preserve">         2024年3月31日</w:t>
      </w:r>
    </w:p>
    <w:p>
      <w:pPr>
        <w:rPr>
          <w:rFonts w:hint="eastAsia"/>
          <w:color w:val="auto"/>
          <w:highlight w:val="none"/>
          <w:lang w:val="en-US" w:eastAsia="zh-CN"/>
        </w:rPr>
      </w:pPr>
    </w:p>
    <w:p>
      <w:pPr>
        <w:pStyle w:val="2"/>
        <w:ind w:firstLine="560"/>
        <w:jc w:val="both"/>
        <w:outlineLvl w:val="9"/>
        <w:rPr>
          <w:rFonts w:hint="eastAsia" w:ascii="仿宋_GB2312" w:eastAsia="仿宋_GB2312"/>
          <w:color w:val="auto"/>
          <w:sz w:val="28"/>
          <w:szCs w:val="28"/>
          <w:highlight w:val="none"/>
        </w:rPr>
      </w:pPr>
    </w:p>
    <w:p>
      <w:pPr>
        <w:pStyle w:val="2"/>
        <w:ind w:firstLine="560"/>
        <w:jc w:val="both"/>
        <w:outlineLvl w:val="9"/>
        <w:rPr>
          <w:rFonts w:hint="eastAsia" w:ascii="仿宋_GB2312" w:eastAsia="仿宋_GB2312"/>
          <w:color w:val="auto"/>
          <w:sz w:val="28"/>
          <w:szCs w:val="28"/>
          <w:highlight w:val="none"/>
        </w:rPr>
      </w:pPr>
    </w:p>
    <w:p>
      <w:pPr>
        <w:pStyle w:val="2"/>
        <w:ind w:firstLine="560"/>
        <w:jc w:val="both"/>
        <w:outlineLvl w:val="9"/>
        <w:rPr>
          <w:rFonts w:hint="eastAsia" w:ascii="仿宋_GB2312" w:eastAsia="仿宋_GB2312"/>
          <w:color w:val="auto"/>
          <w:sz w:val="28"/>
          <w:szCs w:val="28"/>
          <w:highlight w:val="none"/>
        </w:rPr>
      </w:pPr>
    </w:p>
    <w:p>
      <w:pPr>
        <w:rPr>
          <w:rFonts w:hint="eastAsia"/>
          <w:color w:val="auto"/>
          <w:highlight w:val="none"/>
          <w:lang w:val="en-US" w:eastAsia="zh-CN"/>
        </w:rPr>
      </w:pPr>
    </w:p>
    <w:sectPr>
      <w:headerReference r:id="rId3" w:type="default"/>
      <w:footerReference r:id="rId4"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ind w:firstLine="4140" w:firstLineChars="2300"/>
    </w:pPr>
  </w:p>
  <w:p>
    <w:pPr>
      <w:pStyle w:val="6"/>
      <w:pBdr>
        <w:bottom w:val="single" w:color="auto" w:sz="4" w:space="1"/>
      </w:pBdr>
      <w:ind w:firstLine="4140" w:firstLineChars="2300"/>
    </w:pPr>
    <w:r>
      <w:rPr>
        <w:rFonts w:hint="eastAsia"/>
        <w:lang w:val="en-US" w:eastAsia="zh-CN"/>
      </w:rPr>
      <w:t>赵寨</w:t>
    </w:r>
    <w:r>
      <w:rPr>
        <w:rFonts w:hint="eastAsia"/>
      </w:rPr>
      <w:t>村红道驿站项目</w:t>
    </w:r>
    <w:r>
      <w:rPr>
        <w:rFonts w:hint="eastAsia"/>
        <w:lang w:val="en-US" w:eastAsia="zh-CN"/>
      </w:rPr>
      <w:t>财政</w:t>
    </w:r>
    <w:r>
      <w:rPr>
        <w:rFonts w:hint="eastAsia"/>
      </w:rPr>
      <w:t>衔接资金绩效评价报告</w:t>
    </w: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000000"/>
    <w:rsid w:val="00847DE1"/>
    <w:rsid w:val="00930024"/>
    <w:rsid w:val="00E13486"/>
    <w:rsid w:val="00EB60B2"/>
    <w:rsid w:val="012E439E"/>
    <w:rsid w:val="01761E20"/>
    <w:rsid w:val="01A0772C"/>
    <w:rsid w:val="020A1C48"/>
    <w:rsid w:val="021358C1"/>
    <w:rsid w:val="024E06A7"/>
    <w:rsid w:val="027D71DE"/>
    <w:rsid w:val="032B6C3A"/>
    <w:rsid w:val="03710AF1"/>
    <w:rsid w:val="03840EF9"/>
    <w:rsid w:val="03D35307"/>
    <w:rsid w:val="03DF7ECE"/>
    <w:rsid w:val="04482530"/>
    <w:rsid w:val="047407AB"/>
    <w:rsid w:val="04AC7907"/>
    <w:rsid w:val="04CA47D7"/>
    <w:rsid w:val="050874F6"/>
    <w:rsid w:val="053E2C54"/>
    <w:rsid w:val="0596483F"/>
    <w:rsid w:val="06316315"/>
    <w:rsid w:val="06B56F46"/>
    <w:rsid w:val="07267C17"/>
    <w:rsid w:val="072F799E"/>
    <w:rsid w:val="077A3CEC"/>
    <w:rsid w:val="084C5688"/>
    <w:rsid w:val="086A1FB2"/>
    <w:rsid w:val="08CE2541"/>
    <w:rsid w:val="08F8136C"/>
    <w:rsid w:val="0946657C"/>
    <w:rsid w:val="0972111F"/>
    <w:rsid w:val="09880942"/>
    <w:rsid w:val="09CE7595"/>
    <w:rsid w:val="09D45935"/>
    <w:rsid w:val="0A1641A0"/>
    <w:rsid w:val="0A550B7F"/>
    <w:rsid w:val="0AF85654"/>
    <w:rsid w:val="0AFF2E86"/>
    <w:rsid w:val="0B27418B"/>
    <w:rsid w:val="0B3643CE"/>
    <w:rsid w:val="0B52745A"/>
    <w:rsid w:val="0BC30EB4"/>
    <w:rsid w:val="0C083FBC"/>
    <w:rsid w:val="0CE42333"/>
    <w:rsid w:val="0CF307C8"/>
    <w:rsid w:val="0D847672"/>
    <w:rsid w:val="0DC3019B"/>
    <w:rsid w:val="0DCE4674"/>
    <w:rsid w:val="0DD423A8"/>
    <w:rsid w:val="0E2055ED"/>
    <w:rsid w:val="0E252C04"/>
    <w:rsid w:val="0E2A553D"/>
    <w:rsid w:val="0E8611C8"/>
    <w:rsid w:val="0F6747EF"/>
    <w:rsid w:val="0F713C26"/>
    <w:rsid w:val="1032785A"/>
    <w:rsid w:val="104579BD"/>
    <w:rsid w:val="10B859A2"/>
    <w:rsid w:val="10E5667A"/>
    <w:rsid w:val="10F44B0F"/>
    <w:rsid w:val="10FF714C"/>
    <w:rsid w:val="11020FDA"/>
    <w:rsid w:val="116E48C1"/>
    <w:rsid w:val="1193257A"/>
    <w:rsid w:val="11D02E86"/>
    <w:rsid w:val="11D0732A"/>
    <w:rsid w:val="11FD68A0"/>
    <w:rsid w:val="126637EB"/>
    <w:rsid w:val="12B207DE"/>
    <w:rsid w:val="12F1006F"/>
    <w:rsid w:val="13207E3D"/>
    <w:rsid w:val="132C67E2"/>
    <w:rsid w:val="13573133"/>
    <w:rsid w:val="136441CE"/>
    <w:rsid w:val="13BD38DE"/>
    <w:rsid w:val="13CE5AEB"/>
    <w:rsid w:val="14962841"/>
    <w:rsid w:val="14AD3953"/>
    <w:rsid w:val="14C34F24"/>
    <w:rsid w:val="150F0169"/>
    <w:rsid w:val="15804BC3"/>
    <w:rsid w:val="15B30AF5"/>
    <w:rsid w:val="163836F0"/>
    <w:rsid w:val="1658169C"/>
    <w:rsid w:val="170C2AB2"/>
    <w:rsid w:val="171C6B6E"/>
    <w:rsid w:val="176F4EEF"/>
    <w:rsid w:val="17EC4792"/>
    <w:rsid w:val="18095344"/>
    <w:rsid w:val="1828407B"/>
    <w:rsid w:val="18371EB1"/>
    <w:rsid w:val="18D47700"/>
    <w:rsid w:val="19102702"/>
    <w:rsid w:val="19524AC9"/>
    <w:rsid w:val="196B7938"/>
    <w:rsid w:val="19D83220"/>
    <w:rsid w:val="1A8769F4"/>
    <w:rsid w:val="1A9829AF"/>
    <w:rsid w:val="1B4B7A22"/>
    <w:rsid w:val="1B866CAC"/>
    <w:rsid w:val="1BB13D28"/>
    <w:rsid w:val="1BD16179"/>
    <w:rsid w:val="1C202C5C"/>
    <w:rsid w:val="1DF63C75"/>
    <w:rsid w:val="1E42510C"/>
    <w:rsid w:val="1E426EBA"/>
    <w:rsid w:val="1E650DFA"/>
    <w:rsid w:val="1E733517"/>
    <w:rsid w:val="1E933BB9"/>
    <w:rsid w:val="1E9A4F48"/>
    <w:rsid w:val="1F0C54A8"/>
    <w:rsid w:val="1FB43DE7"/>
    <w:rsid w:val="20250841"/>
    <w:rsid w:val="203767C6"/>
    <w:rsid w:val="203E1903"/>
    <w:rsid w:val="208577B3"/>
    <w:rsid w:val="20DE6C42"/>
    <w:rsid w:val="20EB1A8B"/>
    <w:rsid w:val="22497A15"/>
    <w:rsid w:val="2256662E"/>
    <w:rsid w:val="22837AA1"/>
    <w:rsid w:val="22D8603F"/>
    <w:rsid w:val="23052BAC"/>
    <w:rsid w:val="23302BE7"/>
    <w:rsid w:val="23512FFE"/>
    <w:rsid w:val="238E2BA1"/>
    <w:rsid w:val="247E49C4"/>
    <w:rsid w:val="24E707BB"/>
    <w:rsid w:val="25453733"/>
    <w:rsid w:val="25761B3F"/>
    <w:rsid w:val="258C3110"/>
    <w:rsid w:val="25B3069D"/>
    <w:rsid w:val="25DC5E46"/>
    <w:rsid w:val="26C863CA"/>
    <w:rsid w:val="26FB22FC"/>
    <w:rsid w:val="27054F28"/>
    <w:rsid w:val="2714160F"/>
    <w:rsid w:val="272F6449"/>
    <w:rsid w:val="27AC35F6"/>
    <w:rsid w:val="27D05536"/>
    <w:rsid w:val="28C826B1"/>
    <w:rsid w:val="291B4ED7"/>
    <w:rsid w:val="294651CD"/>
    <w:rsid w:val="294C6E3F"/>
    <w:rsid w:val="29791BFE"/>
    <w:rsid w:val="2987431B"/>
    <w:rsid w:val="29A924E3"/>
    <w:rsid w:val="29F33140"/>
    <w:rsid w:val="2A88659C"/>
    <w:rsid w:val="2AFC4894"/>
    <w:rsid w:val="2B057BED"/>
    <w:rsid w:val="2B762899"/>
    <w:rsid w:val="2B911481"/>
    <w:rsid w:val="2C9A4365"/>
    <w:rsid w:val="2CD23AFF"/>
    <w:rsid w:val="2CFA3055"/>
    <w:rsid w:val="2D656721"/>
    <w:rsid w:val="2D6D51E8"/>
    <w:rsid w:val="2D6F57F1"/>
    <w:rsid w:val="2E057F04"/>
    <w:rsid w:val="2E3507E9"/>
    <w:rsid w:val="2E5C5D76"/>
    <w:rsid w:val="2E7C01C6"/>
    <w:rsid w:val="2EB37960"/>
    <w:rsid w:val="2EE059E2"/>
    <w:rsid w:val="2EEA4769"/>
    <w:rsid w:val="2F5DE007"/>
    <w:rsid w:val="2FB4573E"/>
    <w:rsid w:val="2FB57563"/>
    <w:rsid w:val="304C5976"/>
    <w:rsid w:val="305A4537"/>
    <w:rsid w:val="307D0225"/>
    <w:rsid w:val="310D15A9"/>
    <w:rsid w:val="31EA3699"/>
    <w:rsid w:val="323963CE"/>
    <w:rsid w:val="32401223"/>
    <w:rsid w:val="327B69E7"/>
    <w:rsid w:val="32A777DC"/>
    <w:rsid w:val="32FD564D"/>
    <w:rsid w:val="33061CE1"/>
    <w:rsid w:val="3355548A"/>
    <w:rsid w:val="33E74334"/>
    <w:rsid w:val="3417273F"/>
    <w:rsid w:val="342A2472"/>
    <w:rsid w:val="34AC10D9"/>
    <w:rsid w:val="34B54432"/>
    <w:rsid w:val="34EE16F2"/>
    <w:rsid w:val="350D601C"/>
    <w:rsid w:val="3592207D"/>
    <w:rsid w:val="35D703D8"/>
    <w:rsid w:val="36062A6B"/>
    <w:rsid w:val="360D5BA8"/>
    <w:rsid w:val="363C648D"/>
    <w:rsid w:val="363D46DF"/>
    <w:rsid w:val="365D5682"/>
    <w:rsid w:val="36683F94"/>
    <w:rsid w:val="36D95AE1"/>
    <w:rsid w:val="36F42C3E"/>
    <w:rsid w:val="372C02AF"/>
    <w:rsid w:val="375241BA"/>
    <w:rsid w:val="37E172EC"/>
    <w:rsid w:val="37F45271"/>
    <w:rsid w:val="387B14EE"/>
    <w:rsid w:val="388760E5"/>
    <w:rsid w:val="38DE1A7D"/>
    <w:rsid w:val="39186D3D"/>
    <w:rsid w:val="39567866"/>
    <w:rsid w:val="39923CC5"/>
    <w:rsid w:val="39B5458C"/>
    <w:rsid w:val="3A2E72EA"/>
    <w:rsid w:val="3A322081"/>
    <w:rsid w:val="3B280CA8"/>
    <w:rsid w:val="3B3A743F"/>
    <w:rsid w:val="3B514788"/>
    <w:rsid w:val="3BBF7944"/>
    <w:rsid w:val="3BE15B0C"/>
    <w:rsid w:val="3BED570A"/>
    <w:rsid w:val="3C2F4ACA"/>
    <w:rsid w:val="3C461E13"/>
    <w:rsid w:val="3CAB7EC8"/>
    <w:rsid w:val="3D69400B"/>
    <w:rsid w:val="3DA037A5"/>
    <w:rsid w:val="3E623FB6"/>
    <w:rsid w:val="3F2A5A1C"/>
    <w:rsid w:val="400E2C48"/>
    <w:rsid w:val="405D597D"/>
    <w:rsid w:val="4093139F"/>
    <w:rsid w:val="411351CF"/>
    <w:rsid w:val="411424E0"/>
    <w:rsid w:val="41B617E9"/>
    <w:rsid w:val="41C45CB4"/>
    <w:rsid w:val="42AE426E"/>
    <w:rsid w:val="42D9578F"/>
    <w:rsid w:val="4379487C"/>
    <w:rsid w:val="438A4CDB"/>
    <w:rsid w:val="43C024AB"/>
    <w:rsid w:val="44D04970"/>
    <w:rsid w:val="450E5498"/>
    <w:rsid w:val="455E01CE"/>
    <w:rsid w:val="45815C6A"/>
    <w:rsid w:val="458D5FD3"/>
    <w:rsid w:val="45C81AEB"/>
    <w:rsid w:val="45EF52CA"/>
    <w:rsid w:val="46340F2E"/>
    <w:rsid w:val="464473C4"/>
    <w:rsid w:val="46F26E20"/>
    <w:rsid w:val="47476A66"/>
    <w:rsid w:val="47C307BC"/>
    <w:rsid w:val="47D06A35"/>
    <w:rsid w:val="483E6094"/>
    <w:rsid w:val="48671147"/>
    <w:rsid w:val="48BD520B"/>
    <w:rsid w:val="48DF5182"/>
    <w:rsid w:val="49843F7B"/>
    <w:rsid w:val="4B0E1D4E"/>
    <w:rsid w:val="4B1F5D09"/>
    <w:rsid w:val="4BB23021"/>
    <w:rsid w:val="4C1222C6"/>
    <w:rsid w:val="4C4719BC"/>
    <w:rsid w:val="4C7E2F03"/>
    <w:rsid w:val="4C885B30"/>
    <w:rsid w:val="4CA961D2"/>
    <w:rsid w:val="4CC21042"/>
    <w:rsid w:val="4D0C6761"/>
    <w:rsid w:val="4D901140"/>
    <w:rsid w:val="4DC66910"/>
    <w:rsid w:val="4DD03C33"/>
    <w:rsid w:val="4E2B1EB6"/>
    <w:rsid w:val="4E3221F7"/>
    <w:rsid w:val="4E6525CD"/>
    <w:rsid w:val="4E6C395B"/>
    <w:rsid w:val="4E944C60"/>
    <w:rsid w:val="4EA74993"/>
    <w:rsid w:val="4EDB557B"/>
    <w:rsid w:val="4EE5726A"/>
    <w:rsid w:val="4F42290E"/>
    <w:rsid w:val="4FA57A7F"/>
    <w:rsid w:val="4FAB04B3"/>
    <w:rsid w:val="4FBF5D0D"/>
    <w:rsid w:val="50174A86"/>
    <w:rsid w:val="504B57F2"/>
    <w:rsid w:val="50974594"/>
    <w:rsid w:val="51713037"/>
    <w:rsid w:val="51984A67"/>
    <w:rsid w:val="5246001F"/>
    <w:rsid w:val="52974D1F"/>
    <w:rsid w:val="52CA6EA2"/>
    <w:rsid w:val="532F31A9"/>
    <w:rsid w:val="5345477B"/>
    <w:rsid w:val="549332C4"/>
    <w:rsid w:val="54C618EB"/>
    <w:rsid w:val="54C87412"/>
    <w:rsid w:val="54FA76BD"/>
    <w:rsid w:val="552A1E7A"/>
    <w:rsid w:val="553E76CD"/>
    <w:rsid w:val="555F3BAD"/>
    <w:rsid w:val="5560589C"/>
    <w:rsid w:val="55DA564E"/>
    <w:rsid w:val="55DF4A13"/>
    <w:rsid w:val="56024BA5"/>
    <w:rsid w:val="56116B96"/>
    <w:rsid w:val="562E599A"/>
    <w:rsid w:val="568850AA"/>
    <w:rsid w:val="56EF512A"/>
    <w:rsid w:val="571B0126"/>
    <w:rsid w:val="572823EA"/>
    <w:rsid w:val="57E82074"/>
    <w:rsid w:val="580E5A83"/>
    <w:rsid w:val="58546E79"/>
    <w:rsid w:val="58613E05"/>
    <w:rsid w:val="5866141B"/>
    <w:rsid w:val="595219A0"/>
    <w:rsid w:val="59594ADC"/>
    <w:rsid w:val="5A1F7AD4"/>
    <w:rsid w:val="5AF820D3"/>
    <w:rsid w:val="5B0F5D9A"/>
    <w:rsid w:val="5B547C51"/>
    <w:rsid w:val="5B5A4B3C"/>
    <w:rsid w:val="5BB46942"/>
    <w:rsid w:val="5BEA4111"/>
    <w:rsid w:val="5D137698"/>
    <w:rsid w:val="5D7F0889"/>
    <w:rsid w:val="5E082F75"/>
    <w:rsid w:val="5E6463FD"/>
    <w:rsid w:val="5EA70098"/>
    <w:rsid w:val="5EB153BA"/>
    <w:rsid w:val="5F090D52"/>
    <w:rsid w:val="5F724B4A"/>
    <w:rsid w:val="5FCD7FD2"/>
    <w:rsid w:val="6008725C"/>
    <w:rsid w:val="60116111"/>
    <w:rsid w:val="60593614"/>
    <w:rsid w:val="60925F84"/>
    <w:rsid w:val="60966616"/>
    <w:rsid w:val="6105554A"/>
    <w:rsid w:val="61291238"/>
    <w:rsid w:val="61382AE7"/>
    <w:rsid w:val="61677FB2"/>
    <w:rsid w:val="61B34FA6"/>
    <w:rsid w:val="628801E0"/>
    <w:rsid w:val="62CA1C42"/>
    <w:rsid w:val="62F55A1E"/>
    <w:rsid w:val="63343EC4"/>
    <w:rsid w:val="63BE71F4"/>
    <w:rsid w:val="63D47B81"/>
    <w:rsid w:val="646F1658"/>
    <w:rsid w:val="650049A6"/>
    <w:rsid w:val="658E1FB1"/>
    <w:rsid w:val="65C634F9"/>
    <w:rsid w:val="65CD2ADA"/>
    <w:rsid w:val="660D1128"/>
    <w:rsid w:val="66124991"/>
    <w:rsid w:val="661F0E5C"/>
    <w:rsid w:val="66303069"/>
    <w:rsid w:val="663C1A0D"/>
    <w:rsid w:val="663C6836"/>
    <w:rsid w:val="66B141AA"/>
    <w:rsid w:val="66DC0AFB"/>
    <w:rsid w:val="679A4D10"/>
    <w:rsid w:val="67D30150"/>
    <w:rsid w:val="680B28FE"/>
    <w:rsid w:val="68653736"/>
    <w:rsid w:val="68834BBC"/>
    <w:rsid w:val="689A1F1C"/>
    <w:rsid w:val="68D7478A"/>
    <w:rsid w:val="69644B75"/>
    <w:rsid w:val="69805CD5"/>
    <w:rsid w:val="6A334ED5"/>
    <w:rsid w:val="6A607681"/>
    <w:rsid w:val="6A641533"/>
    <w:rsid w:val="6ADF3DE7"/>
    <w:rsid w:val="6BDD77EF"/>
    <w:rsid w:val="6C5C0714"/>
    <w:rsid w:val="6C634B51"/>
    <w:rsid w:val="6CCE0EE6"/>
    <w:rsid w:val="6CD56718"/>
    <w:rsid w:val="6D4F0278"/>
    <w:rsid w:val="6D5910F7"/>
    <w:rsid w:val="6D981C1F"/>
    <w:rsid w:val="6DA900D4"/>
    <w:rsid w:val="6DC42A14"/>
    <w:rsid w:val="6E883386"/>
    <w:rsid w:val="6E971ED7"/>
    <w:rsid w:val="6EAB7730"/>
    <w:rsid w:val="6FC34F4E"/>
    <w:rsid w:val="6FF3138F"/>
    <w:rsid w:val="7019691C"/>
    <w:rsid w:val="707B38EE"/>
    <w:rsid w:val="708A15C7"/>
    <w:rsid w:val="70CD35BF"/>
    <w:rsid w:val="715152AC"/>
    <w:rsid w:val="716B13F9"/>
    <w:rsid w:val="717C3606"/>
    <w:rsid w:val="72E871A5"/>
    <w:rsid w:val="732D2E0A"/>
    <w:rsid w:val="73351CBE"/>
    <w:rsid w:val="735D2FC3"/>
    <w:rsid w:val="739015EB"/>
    <w:rsid w:val="740A6CA7"/>
    <w:rsid w:val="7413697E"/>
    <w:rsid w:val="743B3304"/>
    <w:rsid w:val="743F6CEE"/>
    <w:rsid w:val="7467234B"/>
    <w:rsid w:val="74923DD8"/>
    <w:rsid w:val="74C4154C"/>
    <w:rsid w:val="75BA46FD"/>
    <w:rsid w:val="75CA0DE4"/>
    <w:rsid w:val="762A53DF"/>
    <w:rsid w:val="76E40CC6"/>
    <w:rsid w:val="76EE0B02"/>
    <w:rsid w:val="775766A7"/>
    <w:rsid w:val="77C33D3D"/>
    <w:rsid w:val="78056103"/>
    <w:rsid w:val="785247C1"/>
    <w:rsid w:val="78A0407E"/>
    <w:rsid w:val="78A87E00"/>
    <w:rsid w:val="78C95383"/>
    <w:rsid w:val="79654980"/>
    <w:rsid w:val="79B576B5"/>
    <w:rsid w:val="79E30DCD"/>
    <w:rsid w:val="7A2C07DB"/>
    <w:rsid w:val="7AAF2356"/>
    <w:rsid w:val="7ABE6A3D"/>
    <w:rsid w:val="7ACF47A6"/>
    <w:rsid w:val="7AEA7832"/>
    <w:rsid w:val="7B155851"/>
    <w:rsid w:val="7B5E0E6E"/>
    <w:rsid w:val="7B8B4B71"/>
    <w:rsid w:val="7BF73FB5"/>
    <w:rsid w:val="7C09018C"/>
    <w:rsid w:val="7C093CE8"/>
    <w:rsid w:val="7C18217D"/>
    <w:rsid w:val="7C280612"/>
    <w:rsid w:val="7C570EF7"/>
    <w:rsid w:val="7C831CEC"/>
    <w:rsid w:val="7D4F1BCF"/>
    <w:rsid w:val="7D7635FF"/>
    <w:rsid w:val="7EAF6DC9"/>
    <w:rsid w:val="7ED06D3F"/>
    <w:rsid w:val="7F1C1F84"/>
    <w:rsid w:val="7F427C3D"/>
    <w:rsid w:val="7FEC7BA9"/>
    <w:rsid w:val="BEFFE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6" w:lineRule="auto"/>
      <w:outlineLvl w:val="0"/>
    </w:pPr>
    <w:rPr>
      <w:rFonts w:ascii="Calibri" w:hAnsi="Calibri"/>
      <w:b/>
      <w:bCs/>
      <w:kern w:val="44"/>
      <w:sz w:val="44"/>
      <w:szCs w:val="44"/>
    </w:rPr>
  </w:style>
  <w:style w:type="paragraph" w:styleId="4">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character" w:customStyle="1" w:styleId="11">
    <w:name w:val="font11"/>
    <w:basedOn w:val="10"/>
    <w:autoRedefine/>
    <w:qFormat/>
    <w:uiPriority w:val="0"/>
    <w:rPr>
      <w:rFonts w:hint="eastAsia" w:ascii="宋体" w:hAnsi="宋体" w:eastAsia="宋体" w:cs="宋体"/>
      <w:color w:val="000000"/>
      <w:sz w:val="20"/>
      <w:szCs w:val="20"/>
      <w:u w:val="none"/>
    </w:rPr>
  </w:style>
  <w:style w:type="character" w:customStyle="1" w:styleId="12">
    <w:name w:val="font41"/>
    <w:basedOn w:val="10"/>
    <w:autoRedefine/>
    <w:qFormat/>
    <w:uiPriority w:val="0"/>
    <w:rPr>
      <w:rFonts w:ascii="Arial" w:hAnsi="Arial" w:cs="Arial"/>
      <w:color w:val="000000"/>
      <w:sz w:val="20"/>
      <w:szCs w:val="20"/>
      <w:u w:val="none"/>
    </w:rPr>
  </w:style>
  <w:style w:type="paragraph" w:customStyle="1" w:styleId="13">
    <w:name w:val="WPSOffice手动目录 1"/>
    <w:autoRedefine/>
    <w:qFormat/>
    <w:uiPriority w:val="0"/>
    <w:pPr>
      <w:ind w:leftChars="0"/>
    </w:pPr>
    <w:rPr>
      <w:rFonts w:ascii="Times New Roman" w:hAnsi="Times New Roman" w:eastAsia="宋体" w:cs="Times New Roman"/>
      <w:sz w:val="20"/>
      <w:szCs w:val="20"/>
    </w:rPr>
  </w:style>
  <w:style w:type="paragraph" w:customStyle="1" w:styleId="14">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1</Lines>
  <Paragraphs>1</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2024-04-01T17:10:00Z</dcterms:created>
  <dc:creator>HUAWEI</dc:creator>
  <cp:lastModifiedBy>Ou</cp:lastModifiedBy>
  <dcterms:modified xsi:type="dcterms:W3CDTF">2024-04-14T04:23:21Z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5EAA4BF67D784F4E8DCD38F60456062B_13</vt:lpwstr>
  </property>
</Properties>
</file>