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outlineLvl w:val="9"/>
        <w:rPr>
          <w:rFonts w:ascii="宋体" w:hAnsi="宋体"/>
          <w:sz w:val="52"/>
          <w:szCs w:val="52"/>
          <w:highlight w:val="none"/>
        </w:rPr>
      </w:pPr>
      <w:r>
        <w:rPr>
          <w:rFonts w:hint="eastAsia" w:ascii="宋体" w:hAnsi="宋体"/>
          <w:sz w:val="52"/>
          <w:szCs w:val="52"/>
          <w:highlight w:val="none"/>
        </w:rPr>
        <w:t>临空经济区</w:t>
      </w:r>
      <w:r>
        <w:rPr>
          <w:rFonts w:hint="eastAsia" w:ascii="宋体" w:hAnsi="宋体"/>
          <w:sz w:val="52"/>
          <w:szCs w:val="52"/>
          <w:highlight w:val="none"/>
          <w:lang w:val="en-US" w:eastAsia="zh-CN"/>
        </w:rPr>
        <w:t>财政</w:t>
      </w:r>
      <w:r>
        <w:rPr>
          <w:rFonts w:hint="eastAsia" w:ascii="宋体" w:hAnsi="宋体"/>
          <w:sz w:val="52"/>
          <w:szCs w:val="52"/>
          <w:highlight w:val="none"/>
        </w:rPr>
        <w:t>衔接资金项目</w:t>
      </w:r>
    </w:p>
    <w:p>
      <w:pPr>
        <w:spacing w:line="300" w:lineRule="auto"/>
        <w:jc w:val="center"/>
        <w:rPr>
          <w:rFonts w:ascii="黑体" w:hAnsi="黑体" w:eastAsia="黑体" w:cs="Times New Roman"/>
          <w:b/>
          <w:sz w:val="72"/>
          <w:szCs w:val="72"/>
          <w14:ligatures w14:val="none"/>
        </w:rPr>
      </w:pPr>
      <w:r>
        <w:rPr>
          <w:rFonts w:hint="eastAsia" w:ascii="黑体" w:hAnsi="黑体" w:eastAsia="黑体" w:cs="Times New Roman"/>
          <w:b/>
          <w:sz w:val="72"/>
          <w:szCs w:val="72"/>
          <w14:ligatures w14:val="none"/>
        </w:rPr>
        <w:t>绩效评价报告</w:t>
      </w:r>
    </w:p>
    <w:p>
      <w:pPr>
        <w:tabs>
          <w:tab w:val="left" w:pos="615"/>
        </w:tabs>
        <w:spacing w:line="300" w:lineRule="auto"/>
        <w:rPr>
          <w:rFonts w:ascii="Times New Roman" w:hAnsi="Times New Roman" w:eastAsia="宋体" w:cs="Times New Roman"/>
          <w14:ligatures w14:val="none"/>
        </w:rPr>
      </w:pPr>
    </w:p>
    <w:p>
      <w:pPr>
        <w:tabs>
          <w:tab w:val="left" w:pos="615"/>
        </w:tabs>
        <w:spacing w:line="300" w:lineRule="auto"/>
        <w:jc w:val="center"/>
        <w:rPr>
          <w:rFonts w:hint="eastAsia" w:ascii="Times New Roman" w:hAnsi="Times New Roman" w:eastAsia="宋体" w:cs="Times New Roman"/>
          <w:sz w:val="36"/>
          <w:szCs w:val="44"/>
          <w:lang w:eastAsia="zh-CN"/>
          <w14:ligatures w14:val="none"/>
        </w:rPr>
      </w:pPr>
      <w:r>
        <w:rPr>
          <w:rFonts w:hint="eastAsia" w:ascii="Times New Roman" w:hAnsi="Times New Roman" w:eastAsia="宋体" w:cs="Times New Roman"/>
          <w:sz w:val="36"/>
          <w:szCs w:val="44"/>
          <w:lang w:eastAsia="zh-CN"/>
          <w14:ligatures w14:val="none"/>
        </w:rPr>
        <w:t>（精简版）</w:t>
      </w: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ind w:firstLine="1687" w:firstLineChars="600"/>
        <w:rPr>
          <w:b/>
          <w:sz w:val="28"/>
          <w:szCs w:val="28"/>
        </w:rPr>
      </w:pPr>
      <w:r>
        <w:rPr>
          <w:rFonts w:hint="eastAsia"/>
          <w:b/>
          <w:sz w:val="28"/>
          <w:szCs w:val="28"/>
        </w:rPr>
        <w:t>项目名称：沙塘村红色小镇建设</w:t>
      </w:r>
    </w:p>
    <w:p>
      <w:pPr>
        <w:tabs>
          <w:tab w:val="left" w:pos="615"/>
        </w:tabs>
        <w:spacing w:line="300" w:lineRule="auto"/>
        <w:ind w:firstLine="1687" w:firstLineChars="600"/>
        <w:rPr>
          <w:b/>
          <w:sz w:val="28"/>
          <w:szCs w:val="28"/>
        </w:rPr>
      </w:pPr>
      <w:r>
        <w:rPr>
          <w:rFonts w:hint="eastAsia"/>
          <w:b/>
          <w:sz w:val="28"/>
          <w:szCs w:val="28"/>
        </w:rPr>
        <w:t>项目单位：鄂州市临空经济区新庙镇沙塘村</w:t>
      </w:r>
    </w:p>
    <w:p>
      <w:pPr>
        <w:tabs>
          <w:tab w:val="left" w:pos="615"/>
        </w:tabs>
        <w:spacing w:line="300" w:lineRule="auto"/>
        <w:ind w:firstLine="1687" w:firstLineChars="600"/>
        <w:rPr>
          <w:b/>
          <w:sz w:val="28"/>
          <w:szCs w:val="28"/>
        </w:rPr>
      </w:pPr>
      <w:r>
        <w:rPr>
          <w:rFonts w:hint="eastAsia"/>
          <w:b/>
          <w:sz w:val="28"/>
          <w:szCs w:val="28"/>
        </w:rPr>
        <w:t>主管部门：鄂州市临空经济区新庙镇</w:t>
      </w:r>
    </w:p>
    <w:p>
      <w:pPr>
        <w:tabs>
          <w:tab w:val="left" w:pos="615"/>
        </w:tabs>
        <w:spacing w:line="300" w:lineRule="auto"/>
        <w:ind w:firstLine="1687" w:firstLineChars="600"/>
        <w:rPr>
          <w:b/>
          <w:sz w:val="28"/>
          <w:szCs w:val="28"/>
        </w:rPr>
      </w:pPr>
      <w:r>
        <w:rPr>
          <w:rFonts w:hint="eastAsia"/>
          <w:b/>
          <w:sz w:val="28"/>
          <w:szCs w:val="28"/>
        </w:rPr>
        <w:t>评价机构：湖北众信会计师事务有限公司</w:t>
      </w:r>
    </w:p>
    <w:p>
      <w:pPr>
        <w:spacing w:line="300" w:lineRule="auto"/>
        <w:ind w:firstLine="1687" w:firstLineChars="600"/>
        <w:rPr>
          <w:b/>
          <w:sz w:val="28"/>
          <w:szCs w:val="28"/>
        </w:rPr>
      </w:pPr>
      <w:r>
        <w:rPr>
          <w:rFonts w:hint="eastAsia"/>
          <w:b/>
          <w:sz w:val="28"/>
          <w:szCs w:val="28"/>
        </w:rPr>
        <w:t>报告文号：湖众信绩评字[2024]003号</w:t>
      </w:r>
    </w:p>
    <w:p>
      <w:pPr>
        <w:widowControl/>
        <w:spacing w:line="300" w:lineRule="auto"/>
        <w:ind w:firstLine="551" w:firstLineChars="196"/>
        <w:jc w:val="left"/>
        <w:rPr>
          <w:rFonts w:ascii="宋体" w:hAnsi="宋体" w:cs="宋体"/>
          <w:b/>
          <w:bCs/>
          <w:kern w:val="0"/>
          <w:sz w:val="28"/>
          <w:szCs w:val="28"/>
        </w:rPr>
      </w:pPr>
    </w:p>
    <w:p>
      <w:pPr>
        <w:tabs>
          <w:tab w:val="left" w:pos="615"/>
        </w:tabs>
        <w:spacing w:line="300" w:lineRule="auto"/>
        <w:ind w:firstLine="703" w:firstLineChars="250"/>
        <w:rPr>
          <w:b/>
          <w:sz w:val="28"/>
          <w:szCs w:val="28"/>
        </w:rPr>
      </w:pPr>
    </w:p>
    <w:p>
      <w:pPr>
        <w:tabs>
          <w:tab w:val="left" w:pos="615"/>
        </w:tabs>
        <w:spacing w:line="300" w:lineRule="auto"/>
        <w:rPr>
          <w:sz w:val="24"/>
        </w:rPr>
      </w:pPr>
    </w:p>
    <w:p>
      <w:pPr>
        <w:widowControl/>
        <w:spacing w:line="300" w:lineRule="auto"/>
        <w:ind w:firstLine="551" w:firstLineChars="196"/>
        <w:jc w:val="left"/>
        <w:rPr>
          <w:rFonts w:ascii="宋体" w:hAnsi="宋体" w:cs="宋体"/>
          <w:b/>
          <w:bCs/>
          <w:kern w:val="0"/>
          <w:sz w:val="28"/>
          <w:szCs w:val="28"/>
          <w:highlight w:val="none"/>
        </w:rPr>
      </w:pPr>
    </w:p>
    <w:p>
      <w:pPr>
        <w:tabs>
          <w:tab w:val="left" w:pos="615"/>
        </w:tabs>
        <w:spacing w:line="300" w:lineRule="auto"/>
        <w:ind w:firstLine="703" w:firstLineChars="250"/>
        <w:rPr>
          <w:b/>
          <w:sz w:val="28"/>
          <w:szCs w:val="28"/>
          <w:highlight w:val="none"/>
        </w:rPr>
      </w:pPr>
    </w:p>
    <w:p>
      <w:pPr>
        <w:tabs>
          <w:tab w:val="left" w:pos="615"/>
        </w:tabs>
        <w:spacing w:line="300" w:lineRule="auto"/>
        <w:rPr>
          <w:sz w:val="24"/>
          <w:highlight w:val="none"/>
        </w:rPr>
      </w:pPr>
    </w:p>
    <w:p>
      <w:pPr>
        <w:tabs>
          <w:tab w:val="left" w:pos="615"/>
        </w:tabs>
        <w:spacing w:line="300" w:lineRule="auto"/>
        <w:jc w:val="center"/>
        <w:rPr>
          <w:highlight w:val="none"/>
        </w:rPr>
      </w:pPr>
    </w:p>
    <w:p>
      <w:pPr>
        <w:spacing w:before="156" w:beforeLines="50" w:line="300" w:lineRule="auto"/>
        <w:ind w:firstLine="3935" w:firstLineChars="1400"/>
        <w:rPr>
          <w:b/>
          <w:bCs/>
          <w:sz w:val="28"/>
          <w:szCs w:val="28"/>
          <w:highlight w:val="none"/>
        </w:rPr>
      </w:pPr>
      <w:r>
        <w:rPr>
          <w:b/>
          <w:bCs/>
          <w:sz w:val="28"/>
          <w:szCs w:val="28"/>
          <w:highlight w:val="none"/>
        </w:rPr>
        <w:t>20</w:t>
      </w:r>
      <w:r>
        <w:rPr>
          <w:rFonts w:hint="eastAsia"/>
          <w:b/>
          <w:bCs/>
          <w:sz w:val="28"/>
          <w:szCs w:val="28"/>
          <w:highlight w:val="none"/>
        </w:rPr>
        <w:t>2</w:t>
      </w:r>
      <w:r>
        <w:rPr>
          <w:rFonts w:hint="eastAsia"/>
          <w:b/>
          <w:bCs/>
          <w:sz w:val="28"/>
          <w:szCs w:val="28"/>
          <w:highlight w:val="none"/>
          <w:lang w:val="en-US" w:eastAsia="zh-CN"/>
        </w:rPr>
        <w:t>4</w:t>
      </w:r>
      <w:r>
        <w:rPr>
          <w:rFonts w:hint="eastAsia"/>
          <w:b/>
          <w:bCs/>
          <w:sz w:val="28"/>
          <w:szCs w:val="28"/>
          <w:highlight w:val="none"/>
        </w:rPr>
        <w:t>年</w:t>
      </w:r>
      <w:r>
        <w:rPr>
          <w:rFonts w:hint="eastAsia"/>
          <w:b/>
          <w:bCs/>
          <w:sz w:val="28"/>
          <w:szCs w:val="28"/>
          <w:highlight w:val="none"/>
          <w:lang w:val="en-US" w:eastAsia="zh-CN"/>
        </w:rPr>
        <w:t>3</w:t>
      </w:r>
      <w:r>
        <w:rPr>
          <w:b/>
          <w:bCs/>
          <w:sz w:val="28"/>
          <w:szCs w:val="28"/>
          <w:highlight w:val="none"/>
        </w:rPr>
        <w:t>月</w:t>
      </w:r>
    </w:p>
    <w:p>
      <w:pPr>
        <w:pStyle w:val="3"/>
        <w:jc w:val="both"/>
        <w:rPr>
          <w:rFonts w:hint="eastAsia"/>
        </w:rPr>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titlePg/>
          <w:docGrid w:type="lines" w:linePitch="312" w:charSpace="0"/>
        </w:sectPr>
      </w:pPr>
    </w:p>
    <w:p>
      <w:pPr>
        <w:pStyle w:val="3"/>
        <w:jc w:val="both"/>
      </w:pPr>
      <w:r>
        <w:rPr>
          <w:rFonts w:hint="eastAsia"/>
        </w:rPr>
        <w:t>说</w:t>
      </w:r>
      <w:r>
        <w:rPr>
          <w:rFonts w:hint="eastAsia"/>
          <w:lang w:val="en-US" w:eastAsia="zh-CN"/>
        </w:rPr>
        <w:t xml:space="preserve"> </w:t>
      </w:r>
      <w:r>
        <w:rPr>
          <w:rFonts w:hint="eastAsia"/>
        </w:rPr>
        <w:t>明</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受鄂州市临空经济区财政金融局（以下简称财金局）委托，湖北众信会计师事务有限公司对沙塘村红色小镇建设项目财政衔接资金使用情况进行了绩效评价。通过此次评价，全面了解沙塘村红色小镇建设项目财政衔接资金拨付、使用情况以及取得的综合绩效，同时通过对项目资金绩效评价，总结经验、发现问题、提出改进建议，保证沙塘村红色小镇建设项目财政衔接资金使用管理的规范性、安全性和有效性。</w:t>
      </w:r>
    </w:p>
    <w:p>
      <w:pPr>
        <w:spacing w:line="300" w:lineRule="auto"/>
        <w:ind w:firstLine="560" w:firstLineChars="200"/>
        <w:rPr>
          <w:rFonts w:ascii="宋体" w:hAnsi="宋体" w:cs="宋体"/>
          <w:b/>
          <w:bCs/>
          <w:kern w:val="0"/>
          <w:sz w:val="28"/>
          <w:szCs w:val="28"/>
        </w:rPr>
      </w:pPr>
      <w:r>
        <w:rPr>
          <w:rFonts w:hint="eastAsia" w:ascii="仿宋_GB2312" w:hAnsi="宋体" w:eastAsia="仿宋_GB2312"/>
          <w:sz w:val="28"/>
          <w:szCs w:val="28"/>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湖北省衔接资金项 目管理“一本通”》等文件和政策的规定和要求，按时完成了“沙塘村红色小镇建设项目”绩效评价工作，并形成本绩效评价报告。</w:t>
      </w:r>
    </w:p>
    <w:p>
      <w:pPr>
        <w:spacing w:line="300" w:lineRule="auto"/>
        <w:ind w:firstLine="3795" w:firstLineChars="1050"/>
        <w:rPr>
          <w:rFonts w:hint="eastAsia" w:ascii="ˎ̥" w:hAnsi="ˎ̥" w:cs="Times New Roman"/>
          <w:b/>
          <w:sz w:val="36"/>
          <w:szCs w:val="36"/>
          <w14:ligatures w14:val="none"/>
        </w:rPr>
      </w:pPr>
      <w:bookmarkStart w:id="0" w:name="_Toc163852522"/>
    </w:p>
    <w:p>
      <w:pPr>
        <w:spacing w:line="300" w:lineRule="auto"/>
        <w:ind w:firstLine="3795" w:firstLineChars="1050"/>
        <w:rPr>
          <w:rFonts w:hint="eastAsia" w:ascii="ˎ̥" w:hAnsi="ˎ̥" w:cs="Times New Roman"/>
          <w:b/>
          <w:sz w:val="36"/>
          <w:szCs w:val="36"/>
          <w14:ligatures w14:val="none"/>
        </w:rPr>
      </w:pPr>
      <w:r>
        <w:rPr>
          <w:rFonts w:hint="eastAsia" w:ascii="ˎ̥" w:hAnsi="ˎ̥" w:cs="Times New Roman"/>
          <w:b/>
          <w:sz w:val="36"/>
          <w:szCs w:val="36"/>
          <w14:ligatures w14:val="none"/>
        </w:rPr>
        <w:t>报告摘要</w:t>
      </w:r>
      <w:bookmarkEnd w:id="0"/>
    </w:p>
    <w:p>
      <w:pPr>
        <w:widowControl/>
        <w:spacing w:line="300" w:lineRule="auto"/>
        <w:ind w:firstLine="551" w:firstLineChars="196"/>
        <w:jc w:val="left"/>
        <w:rPr>
          <w:rFonts w:ascii="宋体" w:hAnsi="宋体" w:cs="宋体"/>
          <w:b/>
          <w:bCs/>
          <w:kern w:val="0"/>
          <w:sz w:val="28"/>
          <w:szCs w:val="28"/>
        </w:rPr>
      </w:pPr>
    </w:p>
    <w:p>
      <w:pPr>
        <w:widowControl/>
        <w:spacing w:line="300" w:lineRule="auto"/>
        <w:ind w:firstLine="551" w:firstLineChars="196"/>
        <w:jc w:val="left"/>
        <w:rPr>
          <w:rFonts w:hint="eastAsia" w:ascii="宋体" w:hAnsi="宋体" w:cs="宋体"/>
          <w:b/>
          <w:bCs/>
          <w:kern w:val="0"/>
          <w:sz w:val="28"/>
          <w:szCs w:val="28"/>
        </w:rPr>
      </w:pPr>
      <w:r>
        <w:rPr>
          <w:rFonts w:hint="eastAsia" w:ascii="宋体" w:hAnsi="宋体" w:cs="宋体"/>
          <w:b/>
          <w:bCs/>
          <w:kern w:val="0"/>
          <w:sz w:val="28"/>
          <w:szCs w:val="28"/>
        </w:rPr>
        <w:t>一、项目基本情况</w:t>
      </w:r>
    </w:p>
    <w:p>
      <w:pPr>
        <w:widowControl/>
        <w:spacing w:line="300" w:lineRule="auto"/>
        <w:ind w:firstLine="551" w:firstLineChars="196"/>
        <w:jc w:val="left"/>
        <w:rPr>
          <w:rFonts w:ascii="宋体" w:hAnsi="宋体" w:cs="宋体"/>
          <w:b/>
          <w:bCs/>
          <w:kern w:val="0"/>
          <w:sz w:val="28"/>
          <w:szCs w:val="28"/>
        </w:rPr>
      </w:pPr>
      <w:r>
        <w:rPr>
          <w:rFonts w:hint="eastAsia" w:ascii="宋体" w:hAnsi="宋体" w:cs="宋体"/>
          <w:b/>
          <w:bCs/>
          <w:kern w:val="0"/>
          <w:sz w:val="28"/>
          <w:szCs w:val="28"/>
        </w:rPr>
        <w:t>（一）项目立项及批复情况</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sz w:val="28"/>
          <w:szCs w:val="28"/>
        </w:rPr>
        <w:t>3</w:t>
      </w:r>
      <w:r>
        <w:rPr>
          <w:rFonts w:hint="eastAsia" w:ascii="仿宋_GB2312" w:hAnsi="宋体" w:eastAsia="仿宋_GB2312"/>
          <w:sz w:val="28"/>
          <w:szCs w:val="28"/>
        </w:rPr>
        <w:t>年度乡村振兴项目。</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为深入贯彻落实党的二十大精神及乡村振兴战略，按照“产业兴旺、生态宜居”总要求，根据上级统一要求部署，结合我村实际情况和农村生产发展需求，2</w:t>
      </w:r>
      <w:r>
        <w:rPr>
          <w:rFonts w:ascii="仿宋_GB2312" w:hAnsi="宋体" w:eastAsia="仿宋_GB2312"/>
          <w:sz w:val="28"/>
          <w:szCs w:val="28"/>
        </w:rPr>
        <w:t>023</w:t>
      </w:r>
      <w:r>
        <w:rPr>
          <w:rFonts w:hint="eastAsia" w:ascii="仿宋_GB2312" w:hAnsi="宋体" w:eastAsia="仿宋_GB2312"/>
          <w:sz w:val="28"/>
          <w:szCs w:val="28"/>
        </w:rPr>
        <w:t>年沙塘村拟申报巩固拓展脱贫攻坚成果同乡村振兴项目，以集中对鄂燕老路进行道路建设改造和对360米长的沙塘集镇进行道路拓宽、路边房屋商铺外立面美化，同时建设历史文化廊亭、生态游园及休闲驿站建设为主，打造红色休闲旅游基地，项目建成后能够留住沙塘古镇的红色基因和历史传承、提高土地利用率、带动周边村民务工、助力乡村振兴，提升群众生活幸福感!沙塘村向镇申报了202</w:t>
      </w:r>
      <w:r>
        <w:rPr>
          <w:rFonts w:ascii="仿宋_GB2312" w:hAnsi="宋体" w:eastAsia="仿宋_GB2312"/>
          <w:sz w:val="28"/>
          <w:szCs w:val="28"/>
        </w:rPr>
        <w:t>3</w:t>
      </w:r>
      <w:r>
        <w:rPr>
          <w:rFonts w:hint="eastAsia" w:ascii="仿宋_GB2312" w:hAnsi="宋体" w:eastAsia="仿宋_GB2312"/>
          <w:sz w:val="28"/>
          <w:szCs w:val="28"/>
        </w:rPr>
        <w:t>年度乡村振兴项目——沙塘村红色小镇建设项目。</w:t>
      </w:r>
    </w:p>
    <w:p>
      <w:pPr>
        <w:spacing w:line="300" w:lineRule="auto"/>
        <w:ind w:firstLine="560" w:firstLineChars="200"/>
        <w:rPr>
          <w:rFonts w:ascii="仿宋_GB2312" w:hAnsi="宋体" w:eastAsia="仿宋_GB2312"/>
          <w:sz w:val="28"/>
          <w:szCs w:val="28"/>
          <w:highlight w:val="cyan"/>
        </w:rPr>
      </w:pPr>
      <w:r>
        <w:rPr>
          <w:rFonts w:hint="eastAsia" w:ascii="仿宋_GB2312" w:hAnsi="宋体" w:eastAsia="仿宋_GB2312"/>
          <w:sz w:val="28"/>
          <w:szCs w:val="28"/>
        </w:rPr>
        <w:t>区乡村振兴局向各镇下发了《关于202</w:t>
      </w:r>
      <w:r>
        <w:rPr>
          <w:rFonts w:ascii="仿宋_GB2312" w:hAnsi="宋体" w:eastAsia="仿宋_GB2312"/>
          <w:sz w:val="28"/>
          <w:szCs w:val="28"/>
        </w:rPr>
        <w:t>3</w:t>
      </w:r>
      <w:r>
        <w:rPr>
          <w:rFonts w:hint="eastAsia" w:ascii="仿宋_GB2312" w:hAnsi="宋体" w:eastAsia="仿宋_GB2312"/>
          <w:sz w:val="28"/>
          <w:szCs w:val="28"/>
        </w:rPr>
        <w:t>年度申报实施乡村振兴项目库的批复》，批复了沙塘村红色小镇建设项目，整合资金安排460万元，其中：财政衔接资金200万元，其他资金260万元。</w:t>
      </w:r>
    </w:p>
    <w:p>
      <w:pPr>
        <w:widowControl/>
        <w:spacing w:line="300" w:lineRule="auto"/>
        <w:ind w:firstLine="540" w:firstLineChars="192"/>
        <w:jc w:val="left"/>
        <w:rPr>
          <w:rFonts w:ascii="ˎ̥" w:hAnsi="ˎ̥"/>
          <w:b/>
          <w:color w:val="000000"/>
          <w:sz w:val="28"/>
          <w:szCs w:val="28"/>
        </w:rPr>
      </w:pPr>
      <w:r>
        <w:rPr>
          <w:rFonts w:hint="eastAsia" w:ascii="宋体" w:hAnsi="宋体" w:cs="宋体"/>
          <w:b/>
          <w:bCs/>
          <w:kern w:val="0"/>
          <w:sz w:val="28"/>
          <w:szCs w:val="28"/>
        </w:rPr>
        <w:t>（二）</w:t>
      </w:r>
      <w:r>
        <w:rPr>
          <w:rFonts w:hint="eastAsia" w:ascii="ˎ̥" w:hAnsi="ˎ̥"/>
          <w:b/>
          <w:color w:val="000000"/>
          <w:sz w:val="28"/>
          <w:szCs w:val="28"/>
        </w:rPr>
        <w:t>项目实施单位情况</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新庙镇沙塘村民委员会（以下简称沙塘村），法定代表人：江晓峰。统一社会信用代码：54420704698044848X。</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沙塘村地处鄂州城区的东大门，下辖12个自然村湾，13个村民小组辖区面积3300亩，全村586户2672人，我村建档立卡脱贫户为136人，监测户2户14人。</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（三）项目基本情况</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通过观光基地产业项目带动就业的模式，扩大财政衔接资金项目覆盖收益范围，确保脱贫户、一般户通过产业扶贫项目增收巩固脱贫成效。明确资产收益分配，建立利益联结和带贫减贫长效机制，重点向老弱病残重度残疾、脱贫人口倾斜，主要用于设置脱贫户、一般农户就业及脱贫户临时用工、公益岗位开发，建设乡村振兴售卖亭、乡村集市摊位，开展小型公益事业、奖金补助等。</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新庙镇沙塘村红色小镇建设项目位置分布在沙塘村二组、三组和五组,建设乡村振兴售卖亭、用于收取租金，壮大村集体经济收入，带动村民增收，与沙塘村苗圃基地连接，打造城市后花园，方便周边村民的生产生活，吸引游客观光旅游。该项目建成后提升交通运输能力，促进产业结构发展，激活当地经济发展，增强路面抗负荷能力，增加道路边坡安全性。</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（四）项目绩效目标</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沙塘村红色小镇建设项目，拟投资460万余元，构建沙塘市集、建设售卖亭、文化宣传等多功能复合的新型公共空间。绩效目标：</w:t>
      </w:r>
    </w:p>
    <w:p>
      <w:pPr>
        <w:pStyle w:val="8"/>
        <w:spacing w:line="300" w:lineRule="auto"/>
        <w:ind w:firstLine="560"/>
        <w:rPr>
          <w:rFonts w:ascii="仿宋_GB2312" w:hAnsi="宋体" w:eastAsia="仿宋_GB2312"/>
          <w:sz w:val="28"/>
          <w:szCs w:val="28"/>
        </w:rPr>
      </w:pPr>
      <w:r>
        <w:rPr>
          <w:rFonts w:hint="eastAsia" w:ascii="仿宋_GB2312" w:hAnsi="宋体" w:eastAsia="仿宋_GB2312"/>
          <w:sz w:val="28"/>
          <w:szCs w:val="28"/>
        </w:rPr>
        <w:t>1、产出指标：一是改扩建村组公路里程≥0.3公里；二是新建建筑物≥5座；三是新建硬化广场≥2300㎡；四是新建园林绿化≥5100㎡；五是项目完成及时率达到1</w:t>
      </w:r>
      <w:r>
        <w:rPr>
          <w:rFonts w:ascii="仿宋_GB2312" w:hAnsi="宋体" w:eastAsia="仿宋_GB2312"/>
          <w:sz w:val="28"/>
          <w:szCs w:val="28"/>
        </w:rPr>
        <w:t>00</w:t>
      </w:r>
      <w:r>
        <w:rPr>
          <w:rFonts w:hint="eastAsia" w:ascii="仿宋_GB2312" w:hAnsi="宋体" w:eastAsia="仿宋_GB2312"/>
          <w:sz w:val="28"/>
          <w:szCs w:val="28"/>
        </w:rPr>
        <w:t>%。</w:t>
      </w:r>
    </w:p>
    <w:p>
      <w:pPr>
        <w:pStyle w:val="8"/>
        <w:spacing w:line="300" w:lineRule="auto"/>
        <w:ind w:firstLine="560"/>
        <w:rPr>
          <w:rFonts w:ascii="仿宋_GB2312" w:hAnsi="宋体" w:eastAsia="仿宋_GB2312"/>
          <w:sz w:val="28"/>
          <w:szCs w:val="28"/>
        </w:rPr>
      </w:pPr>
      <w:r>
        <w:rPr>
          <w:rFonts w:hint="eastAsia" w:ascii="仿宋_GB2312" w:hAnsi="宋体" w:eastAsia="仿宋_GB2312"/>
          <w:sz w:val="28"/>
          <w:szCs w:val="28"/>
        </w:rPr>
        <w:t>2、经济指标：一是不断提升交通运输能力，促进产业结构发展，激活当地经济发展；二是提高道路同行能力，促进乡村旅游，带动增加旅游收入。</w:t>
      </w:r>
    </w:p>
    <w:p>
      <w:pPr>
        <w:pStyle w:val="8"/>
        <w:spacing w:line="300" w:lineRule="auto"/>
        <w:ind w:firstLine="560"/>
        <w:rPr>
          <w:rFonts w:ascii="仿宋_GB2312" w:hAnsi="宋体" w:eastAsia="仿宋_GB2312"/>
          <w:sz w:val="28"/>
          <w:szCs w:val="28"/>
        </w:rPr>
      </w:pPr>
      <w:r>
        <w:rPr>
          <w:rFonts w:hint="eastAsia" w:ascii="仿宋_GB2312" w:hAnsi="宋体" w:eastAsia="仿宋_GB2312"/>
          <w:sz w:val="28"/>
          <w:szCs w:val="28"/>
        </w:rPr>
        <w:t>3、社会效益：一是村通客车率、组通路率及村通硬化路率≥100%；二是居民出行平均缩短时间≥0.02小时；三是收益总户数≥372户；四是收益建档立卡贫困户数≥35户。</w:t>
      </w:r>
    </w:p>
    <w:p>
      <w:pPr>
        <w:pStyle w:val="8"/>
        <w:spacing w:line="300" w:lineRule="auto"/>
        <w:ind w:firstLine="560"/>
        <w:rPr>
          <w:rFonts w:ascii="仿宋_GB2312" w:hAnsi="宋体" w:eastAsia="仿宋_GB2312"/>
          <w:sz w:val="28"/>
          <w:szCs w:val="28"/>
        </w:rPr>
      </w:pPr>
      <w:r>
        <w:rPr>
          <w:rFonts w:hint="eastAsia" w:ascii="仿宋_GB2312" w:hAnsi="宋体" w:eastAsia="仿宋_GB2312"/>
          <w:sz w:val="28"/>
          <w:szCs w:val="28"/>
        </w:rPr>
        <w:t>4、可持续影响：工程设计实用年限</w:t>
      </w:r>
      <w:r>
        <w:rPr>
          <w:rFonts w:ascii="仿宋_GB2312" w:hAnsi="宋体" w:eastAsia="仿宋_GB2312"/>
          <w:sz w:val="28"/>
          <w:szCs w:val="28"/>
        </w:rPr>
        <w:t>≥</w:t>
      </w:r>
      <w:r>
        <w:rPr>
          <w:rFonts w:hint="eastAsia" w:ascii="仿宋_GB2312" w:hAnsi="宋体" w:eastAsia="仿宋_GB2312"/>
          <w:sz w:val="28"/>
          <w:szCs w:val="28"/>
        </w:rPr>
        <w:t>15年。</w:t>
      </w:r>
    </w:p>
    <w:p>
      <w:pPr>
        <w:spacing w:line="300" w:lineRule="auto"/>
        <w:ind w:firstLine="562" w:firstLineChars="200"/>
        <w:rPr>
          <w:b/>
          <w:bCs/>
          <w:sz w:val="28"/>
          <w:szCs w:val="28"/>
        </w:rPr>
      </w:pPr>
      <w:r>
        <w:rPr>
          <w:rFonts w:hint="eastAsia"/>
          <w:b/>
          <w:bCs/>
          <w:sz w:val="28"/>
          <w:szCs w:val="28"/>
        </w:rPr>
        <w:t>（五）</w:t>
      </w:r>
      <w:r>
        <w:rPr>
          <w:rFonts w:hint="eastAsia" w:ascii="宋体" w:hAnsi="宋体" w:cs="宋体"/>
          <w:b/>
          <w:bCs/>
          <w:kern w:val="0"/>
          <w:sz w:val="28"/>
          <w:szCs w:val="28"/>
        </w:rPr>
        <w:t>项目申报及完成投资情况</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1、项目申报投资。项目申报投资4,600,000.00元，其中：财政衔接资金2,000,000.00元，其他资金2,600,000.00元。</w:t>
      </w:r>
    </w:p>
    <w:p>
      <w:pPr>
        <w:spacing w:line="300" w:lineRule="auto"/>
        <w:ind w:firstLine="560" w:firstLineChars="200"/>
        <w:rPr>
          <w:rFonts w:eastAsia="仿宋_GB2312"/>
          <w:b/>
          <w:bCs/>
          <w:color w:val="FF0000"/>
          <w:sz w:val="28"/>
          <w:szCs w:val="28"/>
        </w:rPr>
      </w:pPr>
      <w:r>
        <w:rPr>
          <w:rFonts w:hint="eastAsia" w:ascii="仿宋_GB2312" w:eastAsia="仿宋_GB2312"/>
          <w:sz w:val="28"/>
          <w:szCs w:val="28"/>
        </w:rPr>
        <w:t>2、项目完成投资。经审查：截至2024年3月31日，项目暂未完成竣工结算，加之监理等服务费用尚未支付，导致投资完成情况无法准确认定。《施工合同》金额3,498,616.06元（鄂州一冶建设有限公司，合同约定2023年12月29日完工），监理合同服务费35,000.00元（中鹏工程咨询有限公司鄂州分公司）。</w:t>
      </w:r>
    </w:p>
    <w:p>
      <w:pPr>
        <w:spacing w:line="300" w:lineRule="auto"/>
        <w:ind w:firstLine="562" w:firstLineChars="200"/>
        <w:rPr>
          <w:b/>
          <w:bCs/>
          <w:sz w:val="28"/>
          <w:szCs w:val="28"/>
        </w:rPr>
      </w:pPr>
      <w:r>
        <w:rPr>
          <w:rFonts w:hint="eastAsia"/>
          <w:b/>
          <w:bCs/>
          <w:sz w:val="28"/>
          <w:szCs w:val="28"/>
        </w:rPr>
        <w:t>（</w:t>
      </w:r>
      <w:r>
        <w:rPr>
          <w:rFonts w:hint="eastAsia"/>
          <w:b/>
          <w:bCs/>
          <w:sz w:val="28"/>
          <w:szCs w:val="28"/>
          <w:lang w:val="en-US" w:eastAsia="zh-CN"/>
        </w:rPr>
        <w:t>六</w:t>
      </w:r>
      <w:r>
        <w:rPr>
          <w:rFonts w:hint="eastAsia"/>
          <w:b/>
          <w:bCs/>
          <w:sz w:val="28"/>
          <w:szCs w:val="28"/>
        </w:rPr>
        <w:t>）项目资金收付情况</w:t>
      </w:r>
    </w:p>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临空经济区乡村振兴财政衔接资金，采取财政直达方式，直接拨付至用款单位。</w:t>
      </w:r>
    </w:p>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该项目财政衔接资金2,000,000.00元。</w:t>
      </w:r>
    </w:p>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经审查：截至2024年3月31日，已经拨付财政衔接资金2,000,000.00元，全部是鄂州一冶建设有限公司工程款。</w:t>
      </w:r>
    </w:p>
    <w:p>
      <w:pPr>
        <w:widowControl/>
        <w:spacing w:line="300" w:lineRule="auto"/>
        <w:ind w:firstLine="413" w:firstLineChars="147"/>
        <w:jc w:val="left"/>
        <w:rPr>
          <w:rFonts w:hint="eastAsia" w:ascii="宋体" w:hAnsi="宋体" w:eastAsia="宋体" w:cs="宋体"/>
          <w:b/>
          <w:bCs/>
          <w:kern w:val="0"/>
          <w:sz w:val="28"/>
          <w:szCs w:val="28"/>
        </w:rPr>
      </w:pPr>
      <w:r>
        <w:rPr>
          <w:rFonts w:hint="eastAsia" w:ascii="宋体" w:hAnsi="宋体" w:eastAsia="宋体" w:cs="宋体"/>
          <w:b/>
          <w:bCs/>
          <w:kern w:val="0"/>
          <w:sz w:val="28"/>
          <w:szCs w:val="28"/>
        </w:rPr>
        <w:t>二、绩效评价工作情况</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（一）绩效评价目的</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通过本次评价，旨在全面了解沙塘村红色小镇建设项目建设情况、财政衔接资金拨付和使用情况以及取得的综合绩效。同时通过对项目资金绩效评价，总结经验、发现问题、提出改进建议，保证项目资金使用管理的规范性、安全性和有效性。推进景区健康、可持续发展做出积极的贡献。</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（二）评价对象与范围</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本次资金绩效评价对象与范围为：沙塘村红色小镇建设项目财政衔接资金2,000,000.00元和其他资金2,600,000.00元的拨付和使用情况。</w:t>
      </w:r>
    </w:p>
    <w:p>
      <w:pPr>
        <w:widowControl/>
        <w:spacing w:line="300" w:lineRule="auto"/>
        <w:ind w:firstLine="562" w:firstLineChars="200"/>
        <w:jc w:val="left"/>
        <w:rPr>
          <w:rFonts w:hint="eastAsia" w:ascii="宋体" w:hAnsi="宋体" w:eastAsia="宋体" w:cs="宋体"/>
          <w:b/>
          <w:bCs/>
          <w:kern w:val="0"/>
          <w:sz w:val="28"/>
          <w:szCs w:val="28"/>
        </w:rPr>
      </w:pPr>
      <w:r>
        <w:rPr>
          <w:rFonts w:hint="eastAsia" w:ascii="宋体" w:hAnsi="宋体" w:eastAsia="宋体" w:cs="宋体"/>
          <w:b/>
          <w:bCs/>
          <w:kern w:val="0"/>
          <w:sz w:val="28"/>
          <w:szCs w:val="28"/>
        </w:rPr>
        <w:t>三、评价结论</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（一）评分结果</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沙塘村红色小镇建设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pPr>
      <w:r>
        <w:rPr>
          <w:rFonts w:hint="eastAsia" w:ascii="仿宋_GB2312" w:hAnsi="宋体" w:eastAsia="仿宋_GB2312"/>
          <w:sz w:val="28"/>
          <w:szCs w:val="28"/>
        </w:rPr>
        <w:t>经评价工作组评定，沙塘村红色小镇建设项目财政衔接资金绩效评价综合得分为88分，绩效等级为良。</w:t>
      </w:r>
    </w:p>
    <w:tbl>
      <w:tblPr>
        <w:tblStyle w:val="6"/>
        <w:tblW w:w="8821" w:type="dxa"/>
        <w:tblInd w:w="96" w:type="dxa"/>
        <w:tblLayout w:type="fixed"/>
        <w:tblCellMar>
          <w:top w:w="0" w:type="dxa"/>
          <w:left w:w="108" w:type="dxa"/>
          <w:bottom w:w="0" w:type="dxa"/>
          <w:right w:w="108" w:type="dxa"/>
        </w:tblCellMar>
      </w:tblPr>
      <w:tblGrid>
        <w:gridCol w:w="452"/>
        <w:gridCol w:w="525"/>
        <w:gridCol w:w="1095"/>
        <w:gridCol w:w="525"/>
        <w:gridCol w:w="2205"/>
        <w:gridCol w:w="518"/>
        <w:gridCol w:w="457"/>
        <w:gridCol w:w="2923"/>
        <w:gridCol w:w="121"/>
      </w:tblGrid>
      <w:tr>
        <w:tblPrEx>
          <w:tblCellMar>
            <w:top w:w="0" w:type="dxa"/>
            <w:left w:w="108" w:type="dxa"/>
            <w:bottom w:w="0" w:type="dxa"/>
            <w:right w:w="108" w:type="dxa"/>
          </w:tblCellMar>
        </w:tblPrEx>
        <w:trPr>
          <w:gridAfter w:val="1"/>
          <w:wAfter w:w="121" w:type="dxa"/>
          <w:trHeight w:val="288" w:hRule="atLeast"/>
        </w:trPr>
        <w:tc>
          <w:tcPr>
            <w:tcW w:w="8700" w:type="dxa"/>
            <w:gridSpan w:val="8"/>
            <w:tcBorders>
              <w:top w:val="nil"/>
              <w:left w:val="nil"/>
              <w:bottom w:val="nil"/>
              <w:right w:val="nil"/>
            </w:tcBorders>
            <w:noWrap/>
            <w:vAlign w:val="center"/>
          </w:tcPr>
          <w:p>
            <w:pPr>
              <w:widowControl/>
              <w:jc w:val="center"/>
              <w:textAlignment w:val="center"/>
              <w:rPr>
                <w:rFonts w:ascii="宋体" w:hAnsi="宋体" w:cs="宋体"/>
                <w:color w:val="000000"/>
                <w:sz w:val="22"/>
                <w:szCs w:val="22"/>
              </w:rPr>
            </w:pPr>
            <w:r>
              <w:rPr>
                <w:rFonts w:hint="eastAsia" w:ascii="宋体" w:hAnsi="宋体" w:cs="宋体"/>
                <w:b/>
                <w:bCs/>
                <w:color w:val="000000"/>
                <w:kern w:val="0"/>
                <w:sz w:val="28"/>
                <w:szCs w:val="28"/>
                <w:lang w:bidi="ar"/>
              </w:rPr>
              <w:t>沙塘村休闲观光农业基地项目评分简表</w:t>
            </w:r>
          </w:p>
        </w:tc>
      </w:tr>
      <w:tr>
        <w:tblPrEx>
          <w:tblCellMar>
            <w:top w:w="0" w:type="dxa"/>
            <w:left w:w="108" w:type="dxa"/>
            <w:bottom w:w="0" w:type="dxa"/>
            <w:right w:w="108" w:type="dxa"/>
          </w:tblCellMar>
        </w:tblPrEx>
        <w:trPr>
          <w:trHeight w:val="288" w:hRule="atLeast"/>
        </w:trPr>
        <w:tc>
          <w:tcPr>
            <w:tcW w:w="4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一级</w:t>
            </w:r>
          </w:p>
        </w:tc>
        <w:tc>
          <w:tcPr>
            <w:tcW w:w="5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二级</w:t>
            </w:r>
          </w:p>
        </w:tc>
        <w:tc>
          <w:tcPr>
            <w:tcW w:w="5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w:t>
            </w:r>
          </w:p>
        </w:tc>
        <w:tc>
          <w:tcPr>
            <w:tcW w:w="220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三级指标</w:t>
            </w:r>
          </w:p>
        </w:tc>
        <w:tc>
          <w:tcPr>
            <w:tcW w:w="5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w:t>
            </w:r>
          </w:p>
        </w:tc>
        <w:tc>
          <w:tcPr>
            <w:tcW w:w="45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kern w:val="0"/>
                <w:sz w:val="20"/>
                <w:szCs w:val="20"/>
                <w:lang w:bidi="ar"/>
              </w:rPr>
            </w:pPr>
            <w:r>
              <w:rPr>
                <w:rFonts w:hint="eastAsia" w:ascii="宋体" w:hAnsi="宋体" w:cs="宋体"/>
                <w:b/>
                <w:bCs/>
                <w:color w:val="000000"/>
                <w:kern w:val="0"/>
                <w:sz w:val="20"/>
                <w:szCs w:val="20"/>
                <w:lang w:bidi="ar"/>
              </w:rPr>
              <w:t>得分</w:t>
            </w:r>
          </w:p>
        </w:tc>
        <w:tc>
          <w:tcPr>
            <w:tcW w:w="304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kern w:val="0"/>
                <w:sz w:val="20"/>
                <w:szCs w:val="20"/>
                <w:lang w:bidi="ar"/>
              </w:rPr>
            </w:pPr>
            <w:r>
              <w:rPr>
                <w:rFonts w:hint="eastAsia" w:ascii="宋体" w:hAnsi="宋体" w:cs="宋体"/>
                <w:b/>
                <w:bCs/>
                <w:color w:val="000000"/>
                <w:kern w:val="0"/>
                <w:sz w:val="20"/>
                <w:szCs w:val="20"/>
                <w:lang w:bidi="ar"/>
              </w:rPr>
              <w:t>失分原因</w:t>
            </w:r>
          </w:p>
        </w:tc>
      </w:tr>
      <w:tr>
        <w:tblPrEx>
          <w:tblCellMar>
            <w:top w:w="0" w:type="dxa"/>
            <w:left w:w="108" w:type="dxa"/>
            <w:bottom w:w="0" w:type="dxa"/>
            <w:right w:w="108" w:type="dxa"/>
          </w:tblCellMar>
        </w:tblPrEx>
        <w:trPr>
          <w:trHeight w:val="288" w:hRule="atLeast"/>
        </w:trPr>
        <w:tc>
          <w:tcPr>
            <w:tcW w:w="4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b/>
                <w:bCs/>
                <w:color w:val="000000"/>
                <w:kern w:val="0"/>
                <w:sz w:val="20"/>
                <w:szCs w:val="20"/>
                <w:lang w:bidi="ar"/>
              </w:rPr>
              <w:t>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b/>
                <w:bCs/>
                <w:color w:val="000000"/>
                <w:kern w:val="0"/>
                <w:sz w:val="20"/>
                <w:szCs w:val="20"/>
                <w:lang w:bidi="ar"/>
              </w:rPr>
              <w:t>值</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b/>
                <w:bCs/>
                <w:color w:val="000000"/>
                <w:kern w:val="0"/>
                <w:sz w:val="20"/>
                <w:szCs w:val="20"/>
                <w:lang w:bidi="ar"/>
              </w:rPr>
              <w:t>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b/>
                <w:bCs/>
                <w:color w:val="000000"/>
                <w:kern w:val="0"/>
                <w:sz w:val="20"/>
                <w:szCs w:val="20"/>
                <w:lang w:bidi="ar"/>
              </w:rPr>
              <w:t>值</w:t>
            </w: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b/>
                <w:bCs/>
                <w:color w:val="000000"/>
                <w:kern w:val="0"/>
                <w:sz w:val="20"/>
                <w:szCs w:val="20"/>
                <w:lang w:bidi="ar"/>
              </w:rPr>
              <w:t>值</w:t>
            </w: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pPr>
          </w:p>
        </w:tc>
        <w:tc>
          <w:tcPr>
            <w:tcW w:w="304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决策</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项目立项</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立项依据充分性</w:t>
            </w:r>
          </w:p>
        </w:tc>
        <w:tc>
          <w:tcPr>
            <w:tcW w:w="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4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pPr>
            <w:r>
              <w:rPr>
                <w:rFonts w:hint="eastAsia" w:ascii="宋体" w:hAnsi="宋体" w:cs="宋体"/>
                <w:color w:val="000000"/>
                <w:kern w:val="0"/>
                <w:sz w:val="20"/>
                <w:szCs w:val="20"/>
                <w:lang w:bidi="ar"/>
              </w:rPr>
              <w:t>2</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立项程序规范性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绩效目标</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绩效目标合理性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3</w:t>
            </w:r>
          </w:p>
        </w:tc>
        <w:tc>
          <w:tcPr>
            <w:tcW w:w="3044"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绩效指标的批复</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资金投入</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财政衔接资金明确性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3</w:t>
            </w:r>
          </w:p>
        </w:tc>
        <w:tc>
          <w:tcPr>
            <w:tcW w:w="3044"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其他配套资金明确性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2</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过程</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w:t>
            </w:r>
          </w:p>
        </w:tc>
        <w:tc>
          <w:tcPr>
            <w:tcW w:w="1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资金落实</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资金到位率</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2</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sz w:val="20"/>
                <w:szCs w:val="20"/>
              </w:rPr>
              <w:t>自筹资金未及时到位</w:t>
            </w: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到位及时率</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1</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sz w:val="20"/>
                <w:szCs w:val="20"/>
              </w:rPr>
              <w:t>自筹资金未及时到位</w:t>
            </w: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资金拨付方式是否规范</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2</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资金使用合规性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财务监控有效性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3</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业务管理</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管理制度健全性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3</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r>
              <w:rPr>
                <w:rFonts w:hint="eastAsia" w:ascii="宋体" w:hAnsi="宋体" w:cs="宋体"/>
                <w:color w:val="000000"/>
                <w:kern w:val="0"/>
                <w:sz w:val="20"/>
                <w:szCs w:val="20"/>
                <w:lang w:bidi="ar"/>
              </w:rPr>
              <w:t>未实行开工竣工验收和结算审计</w:t>
            </w: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制度执行有效性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3</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r>
              <w:rPr>
                <w:rFonts w:hint="eastAsia" w:ascii="宋体" w:hAnsi="宋体" w:cs="宋体"/>
                <w:color w:val="000000"/>
                <w:kern w:val="0"/>
                <w:sz w:val="20"/>
                <w:szCs w:val="20"/>
                <w:lang w:bidi="ar"/>
              </w:rPr>
              <w:t>未实行开工竣工验收和结算审计</w:t>
            </w: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项目质量可控性</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档案管理</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22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档案规范性</w:t>
            </w:r>
          </w:p>
        </w:tc>
        <w:tc>
          <w:tcPr>
            <w:tcW w:w="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3</w:t>
            </w:r>
          </w:p>
        </w:tc>
        <w:tc>
          <w:tcPr>
            <w:tcW w:w="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ascii="宋体" w:hAnsi="宋体" w:cs="宋体"/>
                <w:color w:val="000000"/>
                <w:kern w:val="0"/>
                <w:sz w:val="20"/>
                <w:szCs w:val="20"/>
                <w:lang w:bidi="ar"/>
              </w:rPr>
              <w:t>2</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少数资料收集不到位</w:t>
            </w:r>
          </w:p>
        </w:tc>
      </w:tr>
      <w:tr>
        <w:tblPrEx>
          <w:tblCellMar>
            <w:top w:w="0" w:type="dxa"/>
            <w:left w:w="108" w:type="dxa"/>
            <w:bottom w:w="0" w:type="dxa"/>
            <w:right w:w="108" w:type="dxa"/>
          </w:tblCellMar>
        </w:tblPrEx>
        <w:trPr>
          <w:trHeight w:val="288" w:hRule="atLeast"/>
        </w:trPr>
        <w:tc>
          <w:tcPr>
            <w:tcW w:w="4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25</w:t>
            </w:r>
          </w:p>
        </w:tc>
        <w:tc>
          <w:tcPr>
            <w:tcW w:w="1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目标完成情况</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产出数量</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7</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产出质量</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6</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产出时效（项目完成及时率）</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rPr>
            </w:pPr>
            <w:r>
              <w:rPr>
                <w:rFonts w:hint="eastAsia" w:ascii="宋体" w:hAnsi="宋体" w:cs="宋体"/>
                <w:color w:val="000000"/>
                <w:kern w:val="0"/>
                <w:sz w:val="20"/>
                <w:szCs w:val="20"/>
                <w:lang w:bidi="ar"/>
              </w:rPr>
              <w:t>未见验收报告</w:t>
            </w: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资金使用情况</w:t>
            </w:r>
          </w:p>
        </w:tc>
        <w:tc>
          <w:tcPr>
            <w:tcW w:w="52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资金使用率</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成本节约率</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pPr>
            <w:r>
              <w:rPr>
                <w:rFonts w:hint="eastAsia" w:ascii="宋体" w:hAnsi="宋体" w:cs="宋体"/>
                <w:color w:val="000000"/>
                <w:kern w:val="0"/>
                <w:sz w:val="20"/>
                <w:szCs w:val="20"/>
                <w:lang w:bidi="ar"/>
              </w:rPr>
              <w:t>0</w:t>
            </w:r>
          </w:p>
        </w:tc>
        <w:tc>
          <w:tcPr>
            <w:tcW w:w="3044"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未结算审计，总成本不确定</w:t>
            </w:r>
          </w:p>
        </w:tc>
      </w:tr>
      <w:tr>
        <w:tblPrEx>
          <w:tblCellMar>
            <w:top w:w="0" w:type="dxa"/>
            <w:left w:w="108" w:type="dxa"/>
            <w:bottom w:w="0" w:type="dxa"/>
            <w:right w:w="108" w:type="dxa"/>
          </w:tblCellMar>
        </w:tblPrEx>
        <w:trPr>
          <w:trHeight w:val="288" w:hRule="atLeast"/>
        </w:trPr>
        <w:tc>
          <w:tcPr>
            <w:tcW w:w="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0"/>
                <w:szCs w:val="20"/>
                <w:lang w:bidi="ar"/>
              </w:rPr>
              <w:t>效果</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27</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楷体_GB2312" w:hAnsi="宋体" w:eastAsia="楷体_GB2312" w:cs="楷体_GB2312"/>
                <w:color w:val="000000"/>
                <w:kern w:val="0"/>
                <w:sz w:val="20"/>
                <w:szCs w:val="20"/>
                <w:lang w:eastAsia="zh-CN" w:bidi="ar"/>
              </w:rPr>
            </w:pPr>
            <w:r>
              <w:rPr>
                <w:rFonts w:ascii="楷体_GB2312" w:hAnsi="宋体" w:eastAsia="楷体_GB2312" w:cs="楷体_GB2312"/>
                <w:color w:val="000000"/>
                <w:kern w:val="0"/>
                <w:sz w:val="20"/>
                <w:szCs w:val="20"/>
                <w:lang w:bidi="ar"/>
              </w:rPr>
              <w:t>社会经</w:t>
            </w:r>
          </w:p>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济效益</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17</w:t>
            </w:r>
          </w:p>
        </w:tc>
        <w:tc>
          <w:tcPr>
            <w:tcW w:w="22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经济效益</w:t>
            </w:r>
          </w:p>
        </w:tc>
        <w:tc>
          <w:tcPr>
            <w:tcW w:w="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5</w:t>
            </w:r>
          </w:p>
        </w:tc>
        <w:tc>
          <w:tcPr>
            <w:tcW w:w="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ascii="宋体" w:hAnsi="宋体" w:cs="宋体"/>
                <w:color w:val="000000"/>
                <w:kern w:val="0"/>
                <w:sz w:val="20"/>
                <w:szCs w:val="20"/>
                <w:lang w:bidi="ar"/>
              </w:rPr>
              <w:t>5</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p>
        </w:tc>
        <w:tc>
          <w:tcPr>
            <w:tcW w:w="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生态效益</w:t>
            </w:r>
          </w:p>
        </w:tc>
        <w:tc>
          <w:tcPr>
            <w:tcW w:w="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2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w:t>
            </w:r>
          </w:p>
        </w:tc>
        <w:tc>
          <w:tcPr>
            <w:tcW w:w="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4</w:t>
            </w:r>
          </w:p>
        </w:tc>
        <w:tc>
          <w:tcPr>
            <w:tcW w:w="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ascii="宋体" w:hAnsi="宋体" w:cs="宋体"/>
                <w:color w:val="000000"/>
                <w:kern w:val="0"/>
                <w:sz w:val="20"/>
                <w:szCs w:val="20"/>
                <w:lang w:bidi="ar"/>
              </w:rPr>
              <w:t>4</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楷体_GB2312" w:hAnsi="宋体" w:eastAsia="楷体_GB2312" w:cs="楷体_GB2312"/>
                <w:color w:val="000000"/>
                <w:kern w:val="0"/>
                <w:sz w:val="20"/>
                <w:szCs w:val="20"/>
                <w:lang w:eastAsia="zh-CN" w:bidi="ar"/>
              </w:rPr>
            </w:pPr>
            <w:r>
              <w:rPr>
                <w:rFonts w:ascii="楷体_GB2312" w:hAnsi="宋体" w:eastAsia="楷体_GB2312" w:cs="楷体_GB2312"/>
                <w:color w:val="000000"/>
                <w:kern w:val="0"/>
                <w:sz w:val="20"/>
                <w:szCs w:val="20"/>
                <w:lang w:bidi="ar"/>
              </w:rPr>
              <w:t>可持续</w:t>
            </w:r>
          </w:p>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影响</w:t>
            </w: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7</w:t>
            </w:r>
          </w:p>
        </w:tc>
        <w:tc>
          <w:tcPr>
            <w:tcW w:w="22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建后经营管理</w:t>
            </w:r>
          </w:p>
        </w:tc>
        <w:tc>
          <w:tcPr>
            <w:tcW w:w="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7</w:t>
            </w:r>
          </w:p>
        </w:tc>
        <w:tc>
          <w:tcPr>
            <w:tcW w:w="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ascii="宋体" w:hAnsi="宋体" w:cs="宋体"/>
                <w:color w:val="000000"/>
                <w:kern w:val="0"/>
                <w:sz w:val="20"/>
                <w:szCs w:val="20"/>
                <w:lang w:bidi="ar"/>
              </w:rPr>
              <w:t>5</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未见管护合同</w:t>
            </w:r>
          </w:p>
        </w:tc>
      </w:tr>
      <w:tr>
        <w:tblPrEx>
          <w:tblCellMar>
            <w:top w:w="0" w:type="dxa"/>
            <w:left w:w="108" w:type="dxa"/>
            <w:bottom w:w="0" w:type="dxa"/>
            <w:right w:w="108" w:type="dxa"/>
          </w:tblCellMar>
        </w:tblPrEx>
        <w:trPr>
          <w:trHeight w:val="28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3</w:t>
            </w:r>
          </w:p>
        </w:tc>
        <w:tc>
          <w:tcPr>
            <w:tcW w:w="22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群众满意度</w:t>
            </w:r>
          </w:p>
        </w:tc>
        <w:tc>
          <w:tcPr>
            <w:tcW w:w="5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000000"/>
                <w:sz w:val="20"/>
                <w:szCs w:val="20"/>
              </w:rPr>
            </w:pPr>
            <w:r>
              <w:rPr>
                <w:rFonts w:ascii="楷体_GB2312" w:hAnsi="宋体" w:eastAsia="楷体_GB2312" w:cs="楷体_GB2312"/>
                <w:color w:val="000000"/>
                <w:kern w:val="0"/>
                <w:sz w:val="20"/>
                <w:szCs w:val="20"/>
                <w:lang w:bidi="ar"/>
              </w:rPr>
              <w:t>3</w:t>
            </w:r>
          </w:p>
        </w:tc>
        <w:tc>
          <w:tcPr>
            <w:tcW w:w="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ascii="宋体" w:hAnsi="宋体" w:cs="宋体"/>
                <w:color w:val="000000"/>
                <w:kern w:val="0"/>
                <w:sz w:val="20"/>
                <w:szCs w:val="20"/>
                <w:lang w:bidi="ar"/>
              </w:rPr>
              <w:t>3</w:t>
            </w:r>
          </w:p>
        </w:tc>
        <w:tc>
          <w:tcPr>
            <w:tcW w:w="30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288" w:hRule="atLeast"/>
        </w:trPr>
        <w:tc>
          <w:tcPr>
            <w:tcW w:w="452"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5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p>
        </w:tc>
        <w:tc>
          <w:tcPr>
            <w:tcW w:w="5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20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4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88</w:t>
            </w:r>
          </w:p>
        </w:tc>
        <w:tc>
          <w:tcPr>
            <w:tcW w:w="3044" w:type="dxa"/>
            <w:gridSpan w:val="2"/>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rPr>
            </w:pPr>
          </w:p>
        </w:tc>
      </w:tr>
    </w:tbl>
    <w:p>
      <w:pPr>
        <w:spacing w:line="300" w:lineRule="auto"/>
        <w:outlineLvl w:val="0"/>
        <w:rPr>
          <w:rFonts w:ascii="宋体" w:hAnsi="宋体" w:cs="宋体"/>
          <w:b/>
          <w:kern w:val="0"/>
          <w:sz w:val="28"/>
          <w:szCs w:val="28"/>
        </w:rPr>
      </w:pPr>
    </w:p>
    <w:p>
      <w:pPr>
        <w:widowControl/>
        <w:spacing w:line="300" w:lineRule="auto"/>
        <w:ind w:firstLine="413" w:firstLineChars="147"/>
        <w:jc w:val="left"/>
        <w:rPr>
          <w:rFonts w:hint="eastAsia" w:ascii="宋体" w:hAnsi="宋体" w:cs="宋体"/>
          <w:b/>
          <w:bCs/>
          <w:kern w:val="0"/>
          <w:sz w:val="28"/>
          <w:szCs w:val="28"/>
        </w:rPr>
      </w:pPr>
      <w:r>
        <w:rPr>
          <w:rFonts w:hint="eastAsia" w:ascii="宋体" w:hAnsi="宋体" w:cs="宋体"/>
          <w:b/>
          <w:bCs/>
          <w:kern w:val="0"/>
          <w:sz w:val="28"/>
          <w:szCs w:val="28"/>
        </w:rPr>
        <w:t>（二）主要结论</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通过对沙塘村红色小镇建设项目财政衔接资金在投入、过程、产出和效果等方面的综合评价，得出如下结论：</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1、沙塘村红色小镇建设项目的立项，符合国家乡村振兴政策，契合沙塘村文旅产业的实际情况。项目所设定的绩效目标依据充分，符合客观事实；根据绩效目标设定的绩效指标较为明确。</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2、项目在工程管理、后期投资运营管理等方面，基本符合国家政策要求。特别是项目资金严格实行专款专用，项目资金拨付和使用合法、规范。但是，未见对项目开工、竣工验收和结算审计等程序，无法确定投资完成情况。</w:t>
      </w:r>
    </w:p>
    <w:p>
      <w:pPr>
        <w:widowControl/>
        <w:spacing w:line="300" w:lineRule="auto"/>
        <w:ind w:firstLine="540" w:firstLineChars="192"/>
        <w:jc w:val="left"/>
        <w:rPr>
          <w:rFonts w:hint="eastAsia" w:ascii="仿宋_GB2312" w:hAnsi="Times New Roman" w:cs="Times New Roman"/>
          <w:b/>
          <w:sz w:val="28"/>
          <w:szCs w:val="28"/>
        </w:rPr>
      </w:pPr>
      <w:r>
        <w:rPr>
          <w:rFonts w:hint="eastAsia" w:ascii="仿宋_GB2312" w:hAnsi="Times New Roman" w:cs="Times New Roman"/>
          <w:b/>
          <w:sz w:val="28"/>
          <w:szCs w:val="28"/>
        </w:rPr>
        <w:t>四、项目主要经验、存在的问题和建议</w:t>
      </w:r>
    </w:p>
    <w:p>
      <w:pPr>
        <w:widowControl/>
        <w:spacing w:line="300" w:lineRule="auto"/>
        <w:ind w:firstLine="540" w:firstLineChars="192"/>
        <w:jc w:val="left"/>
        <w:rPr>
          <w:rFonts w:ascii="仿宋_GB2312"/>
          <w:b/>
          <w:sz w:val="28"/>
          <w:szCs w:val="28"/>
        </w:rPr>
      </w:pPr>
      <w:r>
        <w:rPr>
          <w:rFonts w:hint="eastAsia" w:ascii="宋体" w:hAnsi="宋体" w:cs="宋体"/>
          <w:b/>
          <w:bCs/>
          <w:kern w:val="0"/>
          <w:sz w:val="28"/>
          <w:szCs w:val="28"/>
        </w:rPr>
        <w:t>（一）</w:t>
      </w:r>
      <w:r>
        <w:rPr>
          <w:rFonts w:hint="eastAsia" w:ascii="仿宋_GB2312"/>
          <w:b/>
          <w:sz w:val="28"/>
          <w:szCs w:val="28"/>
        </w:rPr>
        <w:t>主要经验和做法</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一是项目前期准备充分。在申报沙塘村红色小镇建设项目前，沙塘村严格执行了“四议两公开”的程序，让项目获得了群众极大的认同感，有广泛的群众基础。且经过“两上两下”的流程，让项目获得财政衔接资金符合国家的产业政策。</w:t>
      </w:r>
    </w:p>
    <w:p>
      <w:pPr>
        <w:widowControl/>
        <w:spacing w:line="300" w:lineRule="auto"/>
        <w:ind w:firstLine="537" w:firstLineChars="192"/>
        <w:jc w:val="left"/>
        <w:rPr>
          <w:rFonts w:ascii="仿宋_GB2312" w:hAnsi="宋体" w:eastAsia="仿宋_GB2312"/>
          <w:sz w:val="28"/>
          <w:szCs w:val="28"/>
        </w:rPr>
      </w:pPr>
      <w:r>
        <w:rPr>
          <w:rFonts w:hint="eastAsia" w:ascii="仿宋_GB2312" w:hAnsi="宋体" w:eastAsia="仿宋_GB2312"/>
          <w:sz w:val="28"/>
          <w:szCs w:val="28"/>
        </w:rPr>
        <w:t>二是临空区财金局高度重视项目绩效管理。对新庙镇上报的项目绩效进行审核和批复，并按规定进行公示，确保项目绩效设置比较合理、方便考核。</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三是项目单位按照《实施方案》的要求，规范实施程序。沙塘村红色小镇建设项目得到区级批复后，沙塘村立即启动项目招标，选择施工队伍。同时，为规范项目质量，对项目实行合同制和监理制，项目质量得到一定的提高。</w:t>
      </w:r>
    </w:p>
    <w:p>
      <w:pPr>
        <w:widowControl/>
        <w:spacing w:line="300" w:lineRule="auto"/>
        <w:ind w:firstLine="560" w:firstLineChars="200"/>
        <w:jc w:val="left"/>
      </w:pPr>
      <w:r>
        <w:rPr>
          <w:rFonts w:hint="eastAsia" w:ascii="仿宋_GB2312" w:hAnsi="宋体" w:eastAsia="仿宋_GB2312"/>
          <w:sz w:val="28"/>
          <w:szCs w:val="28"/>
        </w:rPr>
        <w:t>四是逐层申报项目资金。项目实施过程中，采取“村申请、乡审核、区主管部门申报、管委会批准”的方式，下拨项目资金，确保资金按进度拨付，按渠道使用。</w:t>
      </w:r>
    </w:p>
    <w:p>
      <w:pPr>
        <w:widowControl/>
        <w:spacing w:line="300" w:lineRule="auto"/>
        <w:ind w:firstLine="540" w:firstLineChars="192"/>
        <w:jc w:val="left"/>
        <w:rPr>
          <w:rFonts w:ascii="宋体" w:hAnsi="宋体" w:cs="宋体"/>
          <w:b/>
          <w:bCs/>
          <w:kern w:val="0"/>
          <w:sz w:val="28"/>
          <w:szCs w:val="28"/>
        </w:rPr>
      </w:pPr>
      <w:r>
        <w:rPr>
          <w:rFonts w:hint="eastAsia" w:ascii="仿宋_GB2312"/>
          <w:b/>
          <w:sz w:val="28"/>
          <w:szCs w:val="28"/>
        </w:rPr>
        <w:t>（二）</w:t>
      </w:r>
      <w:r>
        <w:rPr>
          <w:rFonts w:hint="eastAsia" w:ascii="宋体" w:hAnsi="宋体" w:cs="宋体"/>
          <w:b/>
          <w:bCs/>
          <w:kern w:val="0"/>
          <w:sz w:val="28"/>
          <w:szCs w:val="28"/>
        </w:rPr>
        <w:t>存在的主要问题</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一是未见工程结算审计和竣工验收报告，导致工程实际完成投资无法核实。从现有资料看：该项目计划投资4</w:t>
      </w:r>
      <w:r>
        <w:rPr>
          <w:rFonts w:ascii="仿宋_GB2312" w:hAnsi="宋体" w:eastAsia="仿宋_GB2312"/>
          <w:sz w:val="28"/>
          <w:szCs w:val="28"/>
        </w:rPr>
        <w:t>,6</w:t>
      </w:r>
      <w:r>
        <w:rPr>
          <w:rFonts w:hint="eastAsia" w:ascii="仿宋_GB2312" w:hAnsi="宋体" w:eastAsia="仿宋_GB2312"/>
          <w:sz w:val="28"/>
          <w:szCs w:val="28"/>
        </w:rPr>
        <w:t>0</w:t>
      </w:r>
      <w:r>
        <w:rPr>
          <w:rFonts w:ascii="仿宋_GB2312" w:hAnsi="宋体" w:eastAsia="仿宋_GB2312"/>
          <w:sz w:val="28"/>
          <w:szCs w:val="28"/>
        </w:rPr>
        <w:t>0,000.00</w:t>
      </w:r>
      <w:r>
        <w:rPr>
          <w:rFonts w:hint="eastAsia" w:ascii="仿宋_GB2312" w:hAnsi="宋体" w:eastAsia="仿宋_GB2312"/>
          <w:sz w:val="28"/>
          <w:szCs w:val="28"/>
        </w:rPr>
        <w:t>元，且与鄂州一冶建设有限公司合同金额为3,498,616.06元，与中鹏工程咨询有限公司鄂州分公司35,000.00元，工程款及监理费合计</w:t>
      </w:r>
      <w:r>
        <w:rPr>
          <w:rFonts w:hint="eastAsia"/>
          <w:sz w:val="28"/>
          <w:szCs w:val="28"/>
        </w:rPr>
        <w:t>3,533,616.06</w:t>
      </w:r>
      <w:r>
        <w:rPr>
          <w:rFonts w:hint="eastAsia" w:ascii="仿宋_GB2312" w:hAnsi="宋体" w:eastAsia="仿宋_GB2312"/>
          <w:sz w:val="28"/>
          <w:szCs w:val="28"/>
        </w:rPr>
        <w:t>元。但是，截至2024年3月31日，虽然项目已经完工，但未进行结算审计，导致无法准确核实投资完成情况。</w:t>
      </w:r>
    </w:p>
    <w:p>
      <w:pPr>
        <w:widowControl/>
        <w:spacing w:line="300" w:lineRule="auto"/>
        <w:ind w:firstLine="537" w:firstLineChars="192"/>
        <w:jc w:val="left"/>
        <w:rPr>
          <w:rFonts w:ascii="仿宋_GB2312" w:hAnsi="宋体" w:eastAsia="仿宋_GB2312"/>
          <w:sz w:val="28"/>
          <w:szCs w:val="28"/>
        </w:rPr>
      </w:pPr>
      <w:r>
        <w:rPr>
          <w:rFonts w:hint="eastAsia" w:ascii="仿宋_GB2312" w:hAnsi="宋体" w:eastAsia="仿宋_GB2312"/>
          <w:sz w:val="28"/>
          <w:szCs w:val="28"/>
        </w:rPr>
        <w:t>二是项目建成，后期管护责任未落实。沙塘村相关负责人表示：为保证设施长期良好运行，基地建成后，必须引进专业投资人进行管护。但截至2024年3月31日，未见项目签订管护协议。</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（三）建议及改进措施</w:t>
      </w:r>
    </w:p>
    <w:p>
      <w:pPr>
        <w:widowControl/>
        <w:spacing w:line="300" w:lineRule="auto"/>
        <w:ind w:firstLine="537" w:firstLineChars="192"/>
        <w:jc w:val="left"/>
        <w:rPr>
          <w:rFonts w:ascii="仿宋_GB2312" w:hAnsi="宋体" w:eastAsia="仿宋_GB2312"/>
          <w:sz w:val="28"/>
          <w:szCs w:val="28"/>
        </w:rPr>
      </w:pPr>
      <w:r>
        <w:rPr>
          <w:rFonts w:hint="eastAsia" w:ascii="仿宋_GB2312" w:hAnsi="宋体" w:eastAsia="仿宋_GB2312"/>
          <w:sz w:val="28"/>
          <w:szCs w:val="28"/>
        </w:rPr>
        <w:t>1、及时办理项目竣工结算审计，夯实工程投资。加快完成工程竣工结算审核工作，便于准确核实工程实际投资完成情况，也便于考核其他资金的到位情况。</w:t>
      </w:r>
    </w:p>
    <w:p>
      <w:pPr>
        <w:widowControl/>
        <w:spacing w:line="300" w:lineRule="auto"/>
        <w:ind w:firstLine="537" w:firstLineChars="192"/>
        <w:jc w:val="left"/>
        <w:rPr>
          <w:rFonts w:ascii="仿宋_GB2312" w:hAnsi="宋体" w:eastAsia="仿宋_GB2312"/>
          <w:sz w:val="28"/>
          <w:szCs w:val="28"/>
          <w:highlight w:val="green"/>
        </w:rPr>
      </w:pPr>
      <w:r>
        <w:rPr>
          <w:rFonts w:hint="eastAsia" w:ascii="仿宋_GB2312" w:hAnsi="宋体" w:eastAsia="仿宋_GB2312"/>
          <w:sz w:val="28"/>
          <w:szCs w:val="28"/>
        </w:rPr>
        <w:t>2、发挥财政衔接资金绩效，落实好后期管护措施，及时引进专业投资人，方便贫困户和群众就近就业。</w:t>
      </w:r>
    </w:p>
    <w:p>
      <w:pPr>
        <w:spacing w:line="300" w:lineRule="auto"/>
        <w:ind w:firstLine="2168" w:firstLineChars="600"/>
        <w:rPr>
          <w:rFonts w:ascii="ˎ̥" w:hAnsi="ˎ̥"/>
          <w:b/>
          <w:sz w:val="36"/>
          <w:szCs w:val="36"/>
        </w:rPr>
      </w:pPr>
    </w:p>
    <w:p>
      <w:pPr>
        <w:spacing w:line="300" w:lineRule="auto"/>
        <w:ind w:firstLine="2168" w:firstLineChars="600"/>
        <w:rPr>
          <w:rFonts w:ascii="ˎ̥" w:hAnsi="ˎ̥"/>
          <w:b/>
          <w:sz w:val="36"/>
          <w:szCs w:val="36"/>
        </w:rPr>
      </w:pPr>
    </w:p>
    <w:p>
      <w:pPr>
        <w:widowControl/>
        <w:spacing w:line="300" w:lineRule="auto"/>
        <w:ind w:firstLine="2520" w:firstLineChars="900"/>
        <w:jc w:val="left"/>
        <w:rPr>
          <w:rFonts w:ascii="仿宋_GB2312" w:hAnsi="宋体" w:eastAsia="仿宋_GB2312"/>
          <w:sz w:val="28"/>
          <w:szCs w:val="28"/>
        </w:rPr>
      </w:pPr>
    </w:p>
    <w:p>
      <w:pPr>
        <w:widowControl/>
        <w:spacing w:line="300" w:lineRule="auto"/>
        <w:ind w:firstLine="2520" w:firstLineChars="900"/>
        <w:jc w:val="left"/>
        <w:rPr>
          <w:rFonts w:ascii="仿宋_GB2312" w:hAnsi="宋体" w:eastAsia="仿宋_GB2312"/>
          <w:sz w:val="28"/>
          <w:szCs w:val="28"/>
        </w:rPr>
      </w:pPr>
    </w:p>
    <w:p>
      <w:pPr>
        <w:widowControl/>
        <w:spacing w:line="300" w:lineRule="auto"/>
        <w:ind w:firstLine="2520" w:firstLineChars="900"/>
        <w:jc w:val="left"/>
        <w:rPr>
          <w:rFonts w:ascii="仿宋_GB2312" w:hAnsi="宋体" w:eastAsia="仿宋_GB2312"/>
          <w:sz w:val="28"/>
          <w:szCs w:val="28"/>
        </w:rPr>
      </w:pPr>
      <w:r>
        <w:rPr>
          <w:rFonts w:hint="eastAsia" w:ascii="仿宋_GB2312" w:hAnsi="宋体" w:eastAsia="仿宋_GB2312"/>
          <w:sz w:val="28"/>
          <w:szCs w:val="28"/>
        </w:rPr>
        <w:t>湖北众信会计师事务有限公司</w:t>
      </w:r>
    </w:p>
    <w:p>
      <w:pPr>
        <w:widowControl/>
        <w:spacing w:line="300" w:lineRule="auto"/>
        <w:ind w:firstLine="3360" w:firstLineChars="1200"/>
        <w:jc w:val="left"/>
        <w:rPr>
          <w:rFonts w:ascii="仿宋_GB2312" w:hAnsi="宋体" w:eastAsia="仿宋_GB2312"/>
          <w:sz w:val="28"/>
          <w:szCs w:val="28"/>
        </w:rPr>
      </w:pPr>
      <w:r>
        <w:rPr>
          <w:rFonts w:hint="eastAsia" w:ascii="仿宋_GB2312" w:hAnsi="宋体" w:eastAsia="仿宋_GB2312"/>
          <w:sz w:val="28"/>
          <w:szCs w:val="28"/>
        </w:rPr>
        <w:t>2024年3月31日</w:t>
      </w:r>
    </w:p>
    <w:p>
      <w:pPr>
        <w:pStyle w:val="2"/>
      </w:pPr>
    </w:p>
    <w:p/>
    <w:sectPr>
      <w:headerReference r:id="rId7" w:type="default"/>
      <w:footerReference r:id="rId8"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firstLine="4140" w:firstLineChars="2300"/>
    </w:pPr>
    <w:r>
      <w:rPr>
        <w:rFonts w:hint="eastAsia"/>
        <w:lang w:val="en-US" w:eastAsia="zh-CN"/>
      </w:rPr>
      <w:t>赵寨</w:t>
    </w:r>
    <w:r>
      <w:rPr>
        <w:rFonts w:hint="eastAsia"/>
      </w:rPr>
      <w:t>村红道驿站项目乡村振兴衔接资金绩效评价报告</w:t>
    </w:r>
  </w:p>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right"/>
    </w:pPr>
    <w:r>
      <w:rPr>
        <w:rFonts w:hint="eastAsia"/>
      </w:rPr>
      <w:t>沙塘村红色小镇建设</w:t>
    </w:r>
    <w:r>
      <w:rPr>
        <w:rFonts w:hint="eastAsia"/>
        <w:lang w:val="en-US" w:eastAsia="zh-CN"/>
      </w:rPr>
      <w:t>财政</w:t>
    </w:r>
    <w:r>
      <w:rPr>
        <w:rFonts w:hint="eastAsia"/>
      </w:rPr>
      <w:t>衔接资金绩效评价报告</w:t>
    </w:r>
    <w:bookmarkStart w:id="1" w:name="_GoBack"/>
    <w:bookmarkEnd w:id="1"/>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000000"/>
    <w:rsid w:val="06B95703"/>
    <w:rsid w:val="226938A9"/>
    <w:rsid w:val="2ADA1220"/>
    <w:rsid w:val="4AB76ECD"/>
    <w:rsid w:val="66D81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tabs>
        <w:tab w:val="center" w:pos="4742"/>
      </w:tabs>
      <w:spacing w:before="312" w:after="312" w:line="300" w:lineRule="auto"/>
      <w:ind w:firstLine="3520" w:firstLineChars="800"/>
      <w:jc w:val="left"/>
      <w:outlineLvl w:val="0"/>
    </w:pPr>
    <w:rPr>
      <w:rFonts w:eastAsia="黑体"/>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2024-04-13T11:59:00Z</dcterms:created>
  <dc:creator>HUAWEI</dc:creator>
  <cp:lastModifiedBy>Ou</cp:lastModifiedBy>
  <dcterms:modified xsi:type="dcterms:W3CDTF">2024-04-14T04:34:12Z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8ED3998340B5453D9C5C11A28EFD9828_12</vt:lpwstr>
  </property>
</Properties>
</file>