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sz w:val="52"/>
          <w:szCs w:val="52"/>
        </w:rPr>
      </w:pPr>
      <w:r>
        <w:rPr>
          <w:rFonts w:hint="eastAsia"/>
          <w:sz w:val="52"/>
          <w:szCs w:val="52"/>
        </w:rPr>
        <w:t>临空经济区</w:t>
      </w:r>
      <w:r>
        <w:rPr>
          <w:rFonts w:hint="eastAsia"/>
          <w:sz w:val="52"/>
          <w:szCs w:val="52"/>
          <w:lang w:val="en-US" w:eastAsia="zh-CN"/>
        </w:rPr>
        <w:t>财政</w:t>
      </w:r>
      <w:r>
        <w:rPr>
          <w:rFonts w:hint="eastAsia"/>
          <w:sz w:val="52"/>
          <w:szCs w:val="52"/>
        </w:rPr>
        <w:t>衔接资金项目</w:t>
      </w:r>
    </w:p>
    <w:p>
      <w:pPr>
        <w:spacing w:line="300" w:lineRule="auto"/>
        <w:jc w:val="center"/>
        <w:rPr>
          <w:rFonts w:ascii="黑体" w:hAnsi="黑体" w:eastAsia="黑体"/>
          <w:b/>
          <w:sz w:val="72"/>
          <w:szCs w:val="72"/>
        </w:rPr>
      </w:pPr>
      <w:r>
        <w:rPr>
          <w:rFonts w:hint="eastAsia" w:ascii="黑体" w:hAnsi="黑体" w:eastAsia="黑体"/>
          <w:b/>
          <w:sz w:val="72"/>
          <w:szCs w:val="72"/>
        </w:rPr>
        <w:t>绩效评价报告</w:t>
      </w:r>
    </w:p>
    <w:p>
      <w:pPr>
        <w:tabs>
          <w:tab w:val="left" w:pos="615"/>
        </w:tabs>
        <w:spacing w:line="300" w:lineRule="auto"/>
      </w:pPr>
    </w:p>
    <w:p>
      <w:pPr>
        <w:tabs>
          <w:tab w:val="left" w:pos="615"/>
        </w:tabs>
        <w:spacing w:line="300" w:lineRule="auto"/>
        <w:jc w:val="center"/>
      </w:pPr>
      <w:r>
        <w:rPr>
          <w:rFonts w:hint="eastAsia"/>
          <w:sz w:val="44"/>
          <w:szCs w:val="44"/>
          <w:lang w:val="en-US" w:eastAsia="zh-CN"/>
        </w:rPr>
        <w:t>（精简版）</w:t>
      </w: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pPr>
    </w:p>
    <w:p>
      <w:pPr>
        <w:tabs>
          <w:tab w:val="left" w:pos="615"/>
        </w:tabs>
        <w:spacing w:line="300" w:lineRule="auto"/>
        <w:ind w:firstLine="843" w:firstLineChars="300"/>
        <w:rPr>
          <w:b/>
          <w:sz w:val="28"/>
          <w:szCs w:val="28"/>
        </w:rPr>
      </w:pPr>
      <w:r>
        <w:rPr>
          <w:rFonts w:hint="eastAsia"/>
          <w:b/>
          <w:sz w:val="28"/>
          <w:szCs w:val="28"/>
        </w:rPr>
        <w:t>项目名称：杨叶镇平石村、团山村农业生产基地改造项目</w:t>
      </w:r>
    </w:p>
    <w:p>
      <w:pPr>
        <w:tabs>
          <w:tab w:val="left" w:pos="615"/>
        </w:tabs>
        <w:spacing w:line="300" w:lineRule="auto"/>
        <w:ind w:firstLine="843" w:firstLineChars="300"/>
        <w:rPr>
          <w:b/>
          <w:sz w:val="28"/>
          <w:szCs w:val="28"/>
        </w:rPr>
      </w:pPr>
      <w:r>
        <w:rPr>
          <w:rFonts w:hint="eastAsia"/>
          <w:b/>
          <w:sz w:val="28"/>
          <w:szCs w:val="28"/>
        </w:rPr>
        <w:t>项目单位：鄂州市临空经济区杨叶镇平石村、团山村</w:t>
      </w:r>
    </w:p>
    <w:p>
      <w:pPr>
        <w:tabs>
          <w:tab w:val="left" w:pos="615"/>
        </w:tabs>
        <w:spacing w:line="300" w:lineRule="auto"/>
        <w:ind w:firstLine="843" w:firstLineChars="300"/>
        <w:rPr>
          <w:b/>
          <w:sz w:val="28"/>
          <w:szCs w:val="28"/>
        </w:rPr>
      </w:pPr>
      <w:r>
        <w:rPr>
          <w:rFonts w:hint="eastAsia"/>
          <w:b/>
          <w:sz w:val="28"/>
          <w:szCs w:val="28"/>
        </w:rPr>
        <w:t>主管部门：鄂州市临空经济区杨叶镇</w:t>
      </w:r>
    </w:p>
    <w:p>
      <w:pPr>
        <w:tabs>
          <w:tab w:val="left" w:pos="615"/>
        </w:tabs>
        <w:spacing w:line="300" w:lineRule="auto"/>
        <w:ind w:firstLine="843" w:firstLineChars="300"/>
        <w:rPr>
          <w:b/>
          <w:sz w:val="28"/>
          <w:szCs w:val="28"/>
        </w:rPr>
      </w:pPr>
      <w:r>
        <w:rPr>
          <w:rFonts w:hint="eastAsia"/>
          <w:b/>
          <w:sz w:val="28"/>
          <w:szCs w:val="28"/>
        </w:rPr>
        <w:t>评价机构：</w:t>
      </w:r>
      <w:r>
        <w:rPr>
          <w:rFonts w:hint="eastAsia"/>
          <w:b/>
          <w:sz w:val="28"/>
          <w:szCs w:val="28"/>
          <w:highlight w:val="none"/>
        </w:rPr>
        <w:t>湖北众信会计师事务有限公司</w:t>
      </w:r>
    </w:p>
    <w:p>
      <w:pPr>
        <w:spacing w:line="300" w:lineRule="auto"/>
        <w:ind w:firstLine="843" w:firstLineChars="300"/>
        <w:rPr>
          <w:b/>
          <w:sz w:val="28"/>
          <w:szCs w:val="28"/>
        </w:rPr>
      </w:pPr>
      <w:r>
        <w:rPr>
          <w:rFonts w:hint="eastAsia"/>
          <w:b/>
          <w:sz w:val="28"/>
          <w:szCs w:val="28"/>
        </w:rPr>
        <w:t>报告文号：</w:t>
      </w:r>
      <w:r>
        <w:rPr>
          <w:rFonts w:hint="eastAsia"/>
          <w:b/>
          <w:sz w:val="28"/>
          <w:szCs w:val="28"/>
          <w:highlight w:val="none"/>
        </w:rPr>
        <w:t>湖众信绩评字[2023]00</w:t>
      </w:r>
      <w:r>
        <w:rPr>
          <w:rFonts w:hint="eastAsia"/>
          <w:b/>
          <w:sz w:val="28"/>
          <w:szCs w:val="28"/>
          <w:highlight w:val="none"/>
          <w:lang w:val="en-US" w:eastAsia="zh-CN"/>
        </w:rPr>
        <w:t>7</w:t>
      </w:r>
      <w:r>
        <w:rPr>
          <w:rFonts w:hint="eastAsia"/>
          <w:b/>
          <w:sz w:val="28"/>
          <w:szCs w:val="28"/>
          <w:highlight w:val="none"/>
        </w:rPr>
        <w:t>号</w:t>
      </w:r>
    </w:p>
    <w:p>
      <w:pPr>
        <w:spacing w:line="300" w:lineRule="auto"/>
        <w:ind w:firstLine="551" w:firstLineChars="196"/>
        <w:rPr>
          <w:b/>
          <w:bCs/>
          <w:sz w:val="28"/>
          <w:szCs w:val="28"/>
        </w:rPr>
      </w:pPr>
    </w:p>
    <w:p>
      <w:pPr>
        <w:tabs>
          <w:tab w:val="left" w:pos="615"/>
        </w:tabs>
        <w:spacing w:line="300" w:lineRule="auto"/>
        <w:ind w:firstLine="703" w:firstLineChars="250"/>
        <w:rPr>
          <w:b/>
          <w:sz w:val="28"/>
          <w:szCs w:val="28"/>
        </w:rPr>
      </w:pPr>
    </w:p>
    <w:p>
      <w:pPr>
        <w:tabs>
          <w:tab w:val="left" w:pos="615"/>
        </w:tabs>
        <w:spacing w:line="300" w:lineRule="auto"/>
      </w:pPr>
    </w:p>
    <w:p>
      <w:pPr>
        <w:tabs>
          <w:tab w:val="left" w:pos="615"/>
        </w:tabs>
        <w:spacing w:line="300" w:lineRule="auto"/>
        <w:jc w:val="center"/>
      </w:pPr>
    </w:p>
    <w:p>
      <w:pPr>
        <w:spacing w:before="156" w:beforeLines="50" w:line="300" w:lineRule="auto"/>
        <w:ind w:firstLine="2530" w:firstLineChars="900"/>
        <w:rPr>
          <w:b/>
          <w:bCs/>
          <w:sz w:val="28"/>
          <w:szCs w:val="28"/>
        </w:rPr>
      </w:pPr>
      <w:bookmarkStart w:id="4" w:name="_GoBack"/>
      <w:r>
        <w:rPr>
          <w:rFonts w:hint="eastAsia" w:ascii="宋体" w:hAnsi="宋体" w:eastAsia="宋体" w:cs="宋体"/>
          <w:b/>
          <w:bCs/>
          <w:sz w:val="28"/>
          <w:szCs w:val="28"/>
        </w:rPr>
        <w:t>2023年12月</w:t>
      </w:r>
      <w:bookmarkEnd w:id="4"/>
    </w:p>
    <w:p>
      <w:pPr>
        <w:pStyle w:val="2"/>
      </w:pPr>
    </w:p>
    <w:p/>
    <w:p/>
    <w:p>
      <w:pPr>
        <w:pStyle w:val="3"/>
        <w:tabs>
          <w:tab w:val="center" w:pos="4742"/>
        </w:tabs>
        <w:spacing w:before="312" w:after="312" w:line="300" w:lineRule="auto"/>
        <w:ind w:firstLine="3960" w:firstLineChars="900"/>
        <w:rPr>
          <w:rFonts w:ascii="Times New Roman" w:hAnsi="Times New Roman" w:eastAsia="黑体"/>
          <w:b w:val="0"/>
          <w:bCs w:val="0"/>
        </w:rPr>
      </w:pPr>
      <w:r>
        <w:rPr>
          <w:rFonts w:hint="eastAsia" w:ascii="Times New Roman" w:hAnsi="Times New Roman" w:eastAsia="黑体"/>
          <w:b w:val="0"/>
          <w:bCs w:val="0"/>
        </w:rPr>
        <w:t>说明</w:t>
      </w:r>
    </w:p>
    <w:p>
      <w:pPr>
        <w:spacing w:line="300" w:lineRule="auto"/>
      </w:pPr>
    </w:p>
    <w:p>
      <w:pPr>
        <w:tabs>
          <w:tab w:val="left" w:pos="615"/>
        </w:tabs>
        <w:spacing w:line="300" w:lineRule="auto"/>
        <w:ind w:firstLine="840" w:firstLineChars="300"/>
        <w:rPr>
          <w:rFonts w:ascii="仿宋_GB2312" w:eastAsia="仿宋_GB2312"/>
          <w:sz w:val="28"/>
          <w:szCs w:val="28"/>
        </w:rPr>
      </w:pPr>
      <w:r>
        <w:rPr>
          <w:rFonts w:hint="eastAsia" w:ascii="仿宋_GB2312" w:eastAsia="仿宋_GB2312"/>
          <w:sz w:val="28"/>
          <w:szCs w:val="28"/>
        </w:rPr>
        <w:t>受鄂州市临空经济区财政金融局（以下简称财金局）委托，湖北众信会计师事务有限公司对临空经济区杨叶镇平石村、团山村农业生产基地改造项目（以下简称两村农业生产基地改造项目）财政衔接资金使用情况进行了绩效评价。通过此次评价，全面了解两村农业生产基地改造项目财政衔接资金拨付、使用情况以及取得的综合绩效，同时通过对项目资金绩效评价，总结经验、发现问题、提出改进建议，保证两村农业生产基地改造项目财政衔接资金使用管理的规范性、安全性和有效性。</w:t>
      </w:r>
    </w:p>
    <w:p>
      <w:pPr>
        <w:spacing w:line="300" w:lineRule="auto"/>
        <w:ind w:firstLine="560" w:firstLineChars="200"/>
      </w:pPr>
      <w:r>
        <w:rPr>
          <w:rFonts w:hint="eastAsia" w:ascii="仿宋_GB2312" w:eastAsia="仿宋_GB2312"/>
          <w:sz w:val="28"/>
          <w:szCs w:val="28"/>
        </w:rPr>
        <w:t>本次评价依照财政部《项目支出绩效评价管理办法》（财预[2020]10号文件）、湖北省财政厅关于印发《全面实施预算绩效管理系列制度的通知》（鄂财绩发[2020]3号文件）、</w:t>
      </w:r>
      <w:bookmarkStart w:id="0" w:name="_Hlk152179578"/>
      <w:r>
        <w:rPr>
          <w:rFonts w:hint="eastAsia" w:ascii="仿宋_GB2312" w:eastAsia="仿宋_GB2312"/>
          <w:sz w:val="28"/>
          <w:szCs w:val="28"/>
        </w:rPr>
        <w:t>临空经济区党工委农村工作领导小组办公室关于印发《2</w:t>
      </w:r>
      <w:r>
        <w:rPr>
          <w:rFonts w:ascii="仿宋_GB2312" w:eastAsia="仿宋_GB2312"/>
          <w:sz w:val="28"/>
          <w:szCs w:val="28"/>
        </w:rPr>
        <w:t>023</w:t>
      </w:r>
      <w:r>
        <w:rPr>
          <w:rFonts w:hint="eastAsia" w:ascii="仿宋_GB2312" w:eastAsia="仿宋_GB2312"/>
          <w:sz w:val="28"/>
          <w:szCs w:val="28"/>
        </w:rPr>
        <w:t>年度巩固拓展脱贫攻坚成果同乡村振兴有效衔接项目库的批复的通知》(临空农组办发[</w:t>
      </w:r>
      <w:r>
        <w:rPr>
          <w:rFonts w:ascii="仿宋_GB2312" w:eastAsia="仿宋_GB2312"/>
          <w:sz w:val="28"/>
          <w:szCs w:val="28"/>
        </w:rPr>
        <w:t>2023]1</w:t>
      </w:r>
      <w:r>
        <w:rPr>
          <w:rFonts w:hint="eastAsia" w:ascii="仿宋_GB2312" w:eastAsia="仿宋_GB2312"/>
          <w:sz w:val="28"/>
          <w:szCs w:val="28"/>
        </w:rPr>
        <w:t>号)</w:t>
      </w:r>
      <w:bookmarkEnd w:id="0"/>
      <w:r>
        <w:rPr>
          <w:rFonts w:hint="eastAsia" w:ascii="仿宋_GB2312" w:eastAsia="仿宋_GB2312"/>
          <w:sz w:val="28"/>
          <w:szCs w:val="28"/>
        </w:rPr>
        <w:t>、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等文件和政策的规定和要求，按时完成了“平石村、团山村农业生产基地改造项目”绩效评价工作，并形成本绩效评价报告。</w:t>
      </w:r>
    </w:p>
    <w:p>
      <w:pPr>
        <w:spacing w:line="300" w:lineRule="auto"/>
        <w:ind w:firstLine="3795" w:firstLineChars="1050"/>
        <w:rPr>
          <w:rFonts w:ascii="ˎ̥" w:hAnsi="ˎ̥"/>
          <w:b/>
          <w:sz w:val="36"/>
          <w:szCs w:val="36"/>
        </w:rPr>
      </w:pPr>
      <w:r>
        <w:rPr>
          <w:rFonts w:hint="eastAsia" w:ascii="ˎ̥" w:hAnsi="ˎ̥"/>
          <w:b/>
          <w:sz w:val="36"/>
          <w:szCs w:val="36"/>
        </w:rPr>
        <w:t>报告摘要</w:t>
      </w:r>
    </w:p>
    <w:p>
      <w:pPr>
        <w:spacing w:line="300" w:lineRule="auto"/>
        <w:ind w:firstLine="551" w:firstLineChars="196"/>
        <w:rPr>
          <w:b/>
          <w:bCs/>
          <w:sz w:val="28"/>
          <w:szCs w:val="28"/>
        </w:rPr>
      </w:pPr>
    </w:p>
    <w:p>
      <w:pPr>
        <w:spacing w:line="300" w:lineRule="auto"/>
        <w:ind w:firstLine="551" w:firstLineChars="196"/>
        <w:rPr>
          <w:rFonts w:hint="eastAsia" w:ascii="黑体" w:hAnsi="黑体" w:eastAsia="黑体" w:cs="黑体"/>
          <w:b/>
          <w:bCs/>
          <w:sz w:val="28"/>
          <w:szCs w:val="28"/>
        </w:rPr>
      </w:pPr>
      <w:r>
        <w:rPr>
          <w:rFonts w:hint="eastAsia" w:ascii="黑体" w:hAnsi="黑体" w:eastAsia="黑体" w:cs="黑体"/>
          <w:b/>
          <w:bCs/>
          <w:sz w:val="28"/>
          <w:szCs w:val="28"/>
        </w:rPr>
        <w:t>一、项目基本情况</w:t>
      </w:r>
    </w:p>
    <w:p>
      <w:pPr>
        <w:spacing w:line="300" w:lineRule="auto"/>
        <w:ind w:firstLine="551" w:firstLineChars="196"/>
        <w:rPr>
          <w:b/>
          <w:bCs/>
          <w:sz w:val="28"/>
          <w:szCs w:val="28"/>
        </w:rPr>
      </w:pPr>
      <w:r>
        <w:rPr>
          <w:rFonts w:hint="eastAsia"/>
          <w:b/>
          <w:bCs/>
          <w:sz w:val="28"/>
          <w:szCs w:val="28"/>
        </w:rPr>
        <w:t>（一）项目立项及批复情况</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临空经济开发区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eastAsia="仿宋_GB2312"/>
          <w:sz w:val="28"/>
          <w:szCs w:val="28"/>
        </w:rPr>
        <w:t>3</w:t>
      </w:r>
      <w:r>
        <w:rPr>
          <w:rFonts w:hint="eastAsia" w:ascii="仿宋_GB2312" w:eastAsia="仿宋_GB2312"/>
          <w:sz w:val="28"/>
          <w:szCs w:val="28"/>
        </w:rPr>
        <w:t>年度乡村振兴项目。</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为深入贯彻落实党的二十大精神及乡村振兴战略，按照“产业兴旺、生态宜居”总要求，根据上级统一要求部署，结合村级实际情况和农村生产发展需求，平石村、团山村分别向镇申报了202</w:t>
      </w:r>
      <w:r>
        <w:rPr>
          <w:rFonts w:ascii="仿宋_GB2312" w:eastAsia="仿宋_GB2312"/>
          <w:sz w:val="28"/>
          <w:szCs w:val="28"/>
        </w:rPr>
        <w:t>3</w:t>
      </w:r>
      <w:r>
        <w:rPr>
          <w:rFonts w:hint="eastAsia" w:ascii="仿宋_GB2312" w:eastAsia="仿宋_GB2312"/>
          <w:sz w:val="28"/>
          <w:szCs w:val="28"/>
        </w:rPr>
        <w:t>年度乡村振兴项目——平石村、团山村农业生产基地改造项目。</w:t>
      </w:r>
    </w:p>
    <w:p>
      <w:pPr>
        <w:spacing w:line="30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rPr>
        <w:t>区乡村振兴局向杨叶镇下发了《关于202</w:t>
      </w:r>
      <w:r>
        <w:rPr>
          <w:rFonts w:ascii="仿宋_GB2312" w:eastAsia="仿宋_GB2312"/>
          <w:sz w:val="28"/>
          <w:szCs w:val="28"/>
        </w:rPr>
        <w:t>3</w:t>
      </w:r>
      <w:r>
        <w:rPr>
          <w:rFonts w:hint="eastAsia" w:ascii="仿宋_GB2312" w:eastAsia="仿宋_GB2312"/>
          <w:sz w:val="28"/>
          <w:szCs w:val="28"/>
        </w:rPr>
        <w:t>年度申报实施乡村振兴项目库的批复》，批复了平石村、团山村农业生产基地改造项目。</w:t>
      </w:r>
      <w:r>
        <w:rPr>
          <w:rFonts w:hint="eastAsia" w:ascii="仿宋_GB2312" w:eastAsia="仿宋_GB2312"/>
          <w:sz w:val="28"/>
          <w:szCs w:val="28"/>
          <w:lang w:val="en-US" w:eastAsia="zh-CN"/>
        </w:rPr>
        <w:t>该项目计划投资2,053,945.00元，其中：</w:t>
      </w:r>
      <w:r>
        <w:rPr>
          <w:rFonts w:hint="eastAsia" w:ascii="仿宋_GB2312" w:eastAsia="仿宋_GB2312"/>
          <w:sz w:val="28"/>
          <w:szCs w:val="28"/>
        </w:rPr>
        <w:t>财政衔接资金</w:t>
      </w:r>
      <w:r>
        <w:rPr>
          <w:rFonts w:ascii="仿宋_GB2312" w:eastAsia="仿宋_GB2312"/>
          <w:sz w:val="28"/>
          <w:szCs w:val="28"/>
        </w:rPr>
        <w:t>1,400,000.00</w:t>
      </w:r>
      <w:r>
        <w:rPr>
          <w:rFonts w:hint="eastAsia" w:ascii="仿宋_GB2312" w:eastAsia="仿宋_GB2312"/>
          <w:sz w:val="28"/>
          <w:szCs w:val="28"/>
        </w:rPr>
        <w:t>元，其他资金</w:t>
      </w:r>
      <w:r>
        <w:rPr>
          <w:rFonts w:hint="eastAsia" w:ascii="仿宋_GB2312" w:eastAsia="仿宋_GB2312"/>
          <w:sz w:val="28"/>
          <w:szCs w:val="28"/>
          <w:lang w:val="en-US" w:eastAsia="zh-CN"/>
        </w:rPr>
        <w:t>653,945.00元。具体分解如下：</w:t>
      </w:r>
    </w:p>
    <w:p>
      <w:pPr>
        <w:spacing w:line="30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一是平石村投资1,667,100.00元，其中：财政衔接资金1,040,000.00元，其他资金为597,100.00元；</w:t>
      </w:r>
    </w:p>
    <w:p>
      <w:pPr>
        <w:spacing w:line="30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二是团山村投资386,845.00元。团山村财政衔接资金330,000.00元，其他资金56,845.00元。</w:t>
      </w:r>
    </w:p>
    <w:p>
      <w:pPr>
        <w:spacing w:line="300" w:lineRule="auto"/>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注：年初申报的其他资金是420,000.00元。</w:t>
      </w:r>
    </w:p>
    <w:p>
      <w:pPr>
        <w:spacing w:line="300" w:lineRule="auto"/>
        <w:ind w:firstLine="540" w:firstLineChars="192"/>
        <w:rPr>
          <w:rFonts w:ascii="ˎ̥" w:hAnsi="ˎ̥"/>
          <w:b/>
          <w:color w:val="000000"/>
          <w:sz w:val="28"/>
          <w:szCs w:val="28"/>
        </w:rPr>
      </w:pPr>
      <w:bookmarkStart w:id="1" w:name="_Hlk152234441"/>
      <w:r>
        <w:rPr>
          <w:rFonts w:hint="eastAsia"/>
          <w:b/>
          <w:bCs/>
          <w:sz w:val="28"/>
          <w:szCs w:val="28"/>
        </w:rPr>
        <w:t>（二）</w:t>
      </w:r>
      <w:r>
        <w:rPr>
          <w:rFonts w:hint="eastAsia" w:ascii="ˎ̥" w:hAnsi="ˎ̥"/>
          <w:b/>
          <w:color w:val="000000"/>
          <w:sz w:val="28"/>
          <w:szCs w:val="28"/>
        </w:rPr>
        <w:t>项目实施单位情况</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1、平石村</w:t>
      </w:r>
    </w:p>
    <w:p>
      <w:pPr>
        <w:spacing w:line="300" w:lineRule="auto"/>
        <w:ind w:firstLine="560" w:firstLineChars="200"/>
        <w:rPr>
          <w:b/>
          <w:bCs/>
          <w:sz w:val="28"/>
          <w:szCs w:val="28"/>
        </w:rPr>
      </w:pPr>
      <w:r>
        <w:rPr>
          <w:rFonts w:hint="eastAsia" w:ascii="仿宋_GB2312" w:eastAsia="仿宋_GB2312"/>
          <w:sz w:val="28"/>
          <w:szCs w:val="28"/>
        </w:rPr>
        <w:t>杨叶镇平石村民委员会（以下简称平石村），法定代表人：邵重阳。统一社会信用代码：</w:t>
      </w:r>
      <w:r>
        <w:rPr>
          <w:rFonts w:ascii="仿宋_GB2312" w:eastAsia="仿宋_GB2312"/>
          <w:sz w:val="28"/>
          <w:szCs w:val="28"/>
        </w:rPr>
        <w:t>54420704K262490459</w:t>
      </w:r>
      <w:r>
        <w:rPr>
          <w:rFonts w:hint="eastAsia" w:ascii="仿宋_GB2312" w:eastAsia="仿宋_GB2312"/>
          <w:sz w:val="28"/>
          <w:szCs w:val="28"/>
        </w:rPr>
        <w:t>。</w:t>
      </w:r>
    </w:p>
    <w:bookmarkEnd w:id="1"/>
    <w:p>
      <w:pPr>
        <w:spacing w:line="300" w:lineRule="auto"/>
        <w:ind w:firstLine="560" w:firstLineChars="200"/>
        <w:rPr>
          <w:rFonts w:ascii="仿宋_GB2312" w:eastAsia="仿宋_GB2312"/>
          <w:sz w:val="28"/>
          <w:szCs w:val="28"/>
        </w:rPr>
      </w:pPr>
      <w:bookmarkStart w:id="2" w:name="_Hlk152234427"/>
      <w:r>
        <w:rPr>
          <w:rFonts w:hint="eastAsia" w:ascii="仿宋_GB2312" w:eastAsia="仿宋_GB2312"/>
          <w:sz w:val="28"/>
          <w:szCs w:val="28"/>
        </w:rPr>
        <w:t>平石村，地处丘陵、东临长江、西依花马湖，新老鄂燕黄二条公路从中穿过。全村所辖13个村民小组，16个自然塘，耕地面积1760亩，其中水田、旱地各一半。总共1086户，总人口为4586人。</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2、团山村</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杨叶镇团山村民委员会（以下简称团山村），法定代表人：冯小刚。统一社会信用代码：</w:t>
      </w:r>
      <w:r>
        <w:rPr>
          <w:rFonts w:ascii="仿宋_GB2312" w:eastAsia="仿宋_GB2312"/>
          <w:sz w:val="28"/>
          <w:szCs w:val="28"/>
        </w:rPr>
        <w:t>54420704K26249010N</w:t>
      </w:r>
      <w:r>
        <w:rPr>
          <w:rFonts w:hint="eastAsia" w:ascii="仿宋_GB2312" w:eastAsia="仿宋_GB2312"/>
          <w:sz w:val="28"/>
          <w:szCs w:val="28"/>
        </w:rPr>
        <w:t>。</w:t>
      </w:r>
    </w:p>
    <w:p>
      <w:pPr>
        <w:spacing w:line="300" w:lineRule="auto"/>
        <w:ind w:firstLine="560" w:firstLineChars="200"/>
        <w:jc w:val="both"/>
        <w:rPr>
          <w:rFonts w:ascii="仿宋_GB2312" w:eastAsia="仿宋_GB2312"/>
          <w:sz w:val="28"/>
          <w:szCs w:val="28"/>
        </w:rPr>
      </w:pPr>
      <w:r>
        <w:rPr>
          <w:rFonts w:hint="eastAsia" w:ascii="仿宋_GB2312" w:eastAsia="仿宋_GB2312" w:cs="Times New Roman"/>
          <w:sz w:val="28"/>
          <w:szCs w:val="28"/>
        </w:rPr>
        <w:t>团山村位于杨叶镇偏北部，东临长江、西靠S203省道。辖区共十个村民小组，户籍人口4200余人，常住人口2400余人，村内涉及花湖机场拆迁28户。经济发展以农业种植为主，主要为蔬菜、草莓等经济作物种植，种植规模多以村民个体种植为主。现有常住人口以老人、儿童为主，其中低保户80余户。</w:t>
      </w:r>
    </w:p>
    <w:p>
      <w:pPr>
        <w:spacing w:line="300" w:lineRule="auto"/>
        <w:ind w:firstLine="562" w:firstLineChars="200"/>
        <w:rPr>
          <w:b/>
          <w:bCs/>
          <w:sz w:val="28"/>
          <w:szCs w:val="28"/>
        </w:rPr>
      </w:pPr>
      <w:r>
        <w:rPr>
          <w:rFonts w:hint="eastAsia"/>
          <w:b/>
          <w:bCs/>
          <w:sz w:val="28"/>
          <w:szCs w:val="28"/>
        </w:rPr>
        <w:t>（三）项目基本情况</w:t>
      </w:r>
    </w:p>
    <w:p>
      <w:pPr>
        <w:spacing w:line="300" w:lineRule="auto"/>
        <w:ind w:firstLine="537" w:firstLineChars="192"/>
        <w:rPr>
          <w:rFonts w:ascii="仿宋_GB2312" w:eastAsia="仿宋_GB2312"/>
          <w:sz w:val="28"/>
          <w:szCs w:val="28"/>
        </w:rPr>
      </w:pPr>
      <w:r>
        <w:rPr>
          <w:rFonts w:hint="eastAsia" w:ascii="仿宋_GB2312" w:eastAsia="仿宋_GB2312"/>
          <w:sz w:val="28"/>
          <w:szCs w:val="28"/>
        </w:rPr>
        <w:t>平石村、团山村认真贯彻落实市、区关于农业农村发展和撂荒地综合整治利用方面决策部署，巩团提升两村试点湾美好环境与幸福生活共同缔造成效。提高耕地利用效率，发展农业适度规模经营，保障农业安全生产。</w:t>
      </w:r>
    </w:p>
    <w:p>
      <w:pPr>
        <w:spacing w:line="300" w:lineRule="auto"/>
        <w:ind w:firstLine="537" w:firstLineChars="192"/>
        <w:rPr>
          <w:rFonts w:ascii="仿宋_GB2312" w:eastAsia="仿宋_GB2312"/>
          <w:sz w:val="28"/>
          <w:szCs w:val="28"/>
        </w:rPr>
      </w:pPr>
      <w:r>
        <w:rPr>
          <w:rFonts w:hint="eastAsia" w:ascii="仿宋_GB2312" w:eastAsia="仿宋_GB2312"/>
          <w:sz w:val="28"/>
          <w:szCs w:val="28"/>
        </w:rPr>
        <w:t>平石村、团山村农业生产基地改造项目，是对S203省道以东、中羊港周边平石村、团山村400余亩闲置、低产地块土地进行综合整治利用，通过流转方式发展适度规模经营，同时进行配套排灌设施建设：清淤改造蓄水塘堰7200平方米、新建硬化排水沟渠640米、机耕路320米、清淤护砌港道240米、清淤疏浚港道420米。</w:t>
      </w:r>
    </w:p>
    <w:p>
      <w:pPr>
        <w:spacing w:line="300" w:lineRule="auto"/>
        <w:ind w:firstLine="562" w:firstLineChars="200"/>
        <w:rPr>
          <w:b/>
          <w:bCs/>
          <w:sz w:val="28"/>
          <w:szCs w:val="28"/>
        </w:rPr>
      </w:pPr>
      <w:r>
        <w:rPr>
          <w:rFonts w:hint="eastAsia"/>
          <w:b/>
          <w:bCs/>
          <w:sz w:val="28"/>
          <w:szCs w:val="28"/>
        </w:rPr>
        <w:t>（四）项目绩效目标</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平石村、团山村农业生产基地项目，绩效目标：</w:t>
      </w:r>
    </w:p>
    <w:p>
      <w:pPr>
        <w:spacing w:line="300" w:lineRule="auto"/>
        <w:ind w:firstLine="560" w:firstLineChars="200"/>
        <w:rPr>
          <w:rFonts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数量指标：一是新修（维修）灌渠数量1</w:t>
      </w:r>
      <w:r>
        <w:rPr>
          <w:rFonts w:ascii="仿宋_GB2312" w:eastAsia="仿宋_GB2312"/>
          <w:sz w:val="28"/>
          <w:szCs w:val="28"/>
        </w:rPr>
        <w:t>000</w:t>
      </w:r>
      <w:r>
        <w:rPr>
          <w:rFonts w:hint="eastAsia" w:ascii="仿宋_GB2312" w:eastAsia="仿宋_GB2312"/>
          <w:sz w:val="28"/>
          <w:szCs w:val="28"/>
        </w:rPr>
        <w:t>米；二是新修（维修）河堤数量1</w:t>
      </w:r>
      <w:r>
        <w:rPr>
          <w:rFonts w:ascii="仿宋_GB2312" w:eastAsia="仿宋_GB2312"/>
          <w:sz w:val="28"/>
          <w:szCs w:val="28"/>
        </w:rPr>
        <w:t>000</w:t>
      </w:r>
      <w:r>
        <w:rPr>
          <w:rFonts w:hint="eastAsia" w:ascii="仿宋_GB2312" w:eastAsia="仿宋_GB2312"/>
          <w:sz w:val="28"/>
          <w:szCs w:val="28"/>
        </w:rPr>
        <w:t>米；三是沟渠（堰塘）清淤数量1</w:t>
      </w:r>
      <w:r>
        <w:rPr>
          <w:rFonts w:ascii="仿宋_GB2312" w:eastAsia="仿宋_GB2312"/>
          <w:sz w:val="28"/>
          <w:szCs w:val="28"/>
        </w:rPr>
        <w:t>2000</w:t>
      </w:r>
      <w:r>
        <w:rPr>
          <w:rFonts w:hint="eastAsia" w:ascii="仿宋_GB2312" w:eastAsia="仿宋_GB2312"/>
          <w:sz w:val="28"/>
          <w:szCs w:val="28"/>
        </w:rPr>
        <w:t>立方米；四是新修拦水坝数量1座；五是整修堰塘数量1</w:t>
      </w:r>
      <w:r>
        <w:rPr>
          <w:rFonts w:ascii="仿宋_GB2312" w:eastAsia="仿宋_GB2312"/>
          <w:sz w:val="28"/>
          <w:szCs w:val="28"/>
        </w:rPr>
        <w:t>7000</w:t>
      </w:r>
      <w:r>
        <w:rPr>
          <w:rFonts w:hint="eastAsia" w:ascii="仿宋_GB2312" w:eastAsia="仿宋_GB2312"/>
          <w:sz w:val="28"/>
          <w:szCs w:val="28"/>
        </w:rPr>
        <w:t>立方米。</w:t>
      </w:r>
    </w:p>
    <w:p>
      <w:pPr>
        <w:spacing w:line="300" w:lineRule="auto"/>
        <w:ind w:firstLine="560" w:firstLineChars="200"/>
        <w:rPr>
          <w:rFonts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质量指标：项目</w:t>
      </w:r>
      <w:r>
        <w:rPr>
          <w:rFonts w:ascii="仿宋_GB2312" w:eastAsia="仿宋_GB2312"/>
          <w:sz w:val="28"/>
          <w:szCs w:val="28"/>
        </w:rPr>
        <w:t>(工程)验收合格率</w:t>
      </w:r>
      <w:r>
        <w:rPr>
          <w:rFonts w:ascii="Arial" w:hAnsi="Arial" w:eastAsia="仿宋_GB2312" w:cs="Arial"/>
          <w:sz w:val="28"/>
          <w:szCs w:val="28"/>
        </w:rPr>
        <w:t>≥</w:t>
      </w:r>
      <w:r>
        <w:rPr>
          <w:rFonts w:hint="eastAsia" w:ascii="仿宋_GB2312" w:eastAsia="仿宋_GB2312"/>
          <w:sz w:val="28"/>
          <w:szCs w:val="28"/>
        </w:rPr>
        <w:t>1</w:t>
      </w:r>
      <w:r>
        <w:rPr>
          <w:rFonts w:ascii="仿宋_GB2312" w:eastAsia="仿宋_GB2312"/>
          <w:sz w:val="28"/>
          <w:szCs w:val="28"/>
        </w:rPr>
        <w:t>00</w:t>
      </w:r>
      <w:r>
        <w:rPr>
          <w:rFonts w:hint="eastAsia" w:ascii="仿宋_GB2312" w:eastAsia="仿宋_GB2312"/>
          <w:sz w:val="28"/>
          <w:szCs w:val="28"/>
        </w:rPr>
        <w:t>%。</w:t>
      </w:r>
    </w:p>
    <w:p>
      <w:pPr>
        <w:spacing w:line="300" w:lineRule="auto"/>
        <w:ind w:firstLine="560" w:firstLineChars="200"/>
        <w:rPr>
          <w:rFonts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时效指标：项目</w:t>
      </w:r>
      <w:r>
        <w:rPr>
          <w:rFonts w:ascii="仿宋_GB2312" w:eastAsia="仿宋_GB2312"/>
          <w:sz w:val="28"/>
          <w:szCs w:val="28"/>
        </w:rPr>
        <w:t>(工程)完成及时率</w:t>
      </w:r>
      <w:r>
        <w:rPr>
          <w:rFonts w:ascii="Arial" w:hAnsi="Arial" w:eastAsia="仿宋_GB2312" w:cs="Arial"/>
          <w:sz w:val="28"/>
          <w:szCs w:val="28"/>
        </w:rPr>
        <w:t>≥</w:t>
      </w:r>
      <w:r>
        <w:rPr>
          <w:rFonts w:hint="eastAsia" w:ascii="仿宋_GB2312" w:eastAsia="仿宋_GB2312"/>
          <w:sz w:val="28"/>
          <w:szCs w:val="28"/>
        </w:rPr>
        <w:t>1</w:t>
      </w:r>
      <w:r>
        <w:rPr>
          <w:rFonts w:ascii="仿宋_GB2312" w:eastAsia="仿宋_GB2312"/>
          <w:sz w:val="28"/>
          <w:szCs w:val="28"/>
        </w:rPr>
        <w:t>00</w:t>
      </w:r>
      <w:r>
        <w:rPr>
          <w:rFonts w:hint="eastAsia" w:ascii="仿宋_GB2312" w:eastAsia="仿宋_GB2312"/>
          <w:sz w:val="28"/>
          <w:szCs w:val="28"/>
        </w:rPr>
        <w:t>%。</w:t>
      </w:r>
    </w:p>
    <w:p>
      <w:pPr>
        <w:spacing w:line="300" w:lineRule="auto"/>
        <w:ind w:firstLine="560" w:firstLineChars="200"/>
        <w:rPr>
          <w:rFonts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经济效益：一是生产条件改善带动农业亩均产量增加</w:t>
      </w:r>
      <w:r>
        <w:rPr>
          <w:rFonts w:ascii="Arial" w:hAnsi="Arial" w:eastAsia="仿宋_GB2312" w:cs="Arial"/>
          <w:sz w:val="28"/>
          <w:szCs w:val="28"/>
        </w:rPr>
        <w:t>≥</w:t>
      </w:r>
      <w:r>
        <w:rPr>
          <w:rFonts w:hint="eastAsia" w:ascii="仿宋_GB2312" w:eastAsia="仿宋_GB2312"/>
          <w:sz w:val="28"/>
          <w:szCs w:val="28"/>
        </w:rPr>
        <w:t>4</w:t>
      </w:r>
      <w:r>
        <w:rPr>
          <w:rFonts w:ascii="仿宋_GB2312" w:eastAsia="仿宋_GB2312"/>
          <w:sz w:val="28"/>
          <w:szCs w:val="28"/>
        </w:rPr>
        <w:t>00</w:t>
      </w:r>
      <w:r>
        <w:rPr>
          <w:rFonts w:hint="eastAsia" w:ascii="仿宋_GB2312" w:eastAsia="仿宋_GB2312"/>
          <w:sz w:val="28"/>
          <w:szCs w:val="28"/>
        </w:rPr>
        <w:t>斤；二是辅助提升周边村民经济作物二三产增收。</w:t>
      </w:r>
    </w:p>
    <w:p>
      <w:pPr>
        <w:spacing w:line="300" w:lineRule="auto"/>
        <w:ind w:firstLine="560" w:firstLineChars="200"/>
        <w:rPr>
          <w:rFonts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社会效益：一是受益建档立卡脱贫人口数</w:t>
      </w:r>
      <w:r>
        <w:rPr>
          <w:rFonts w:ascii="Arial" w:hAnsi="Arial" w:eastAsia="仿宋_GB2312" w:cs="Arial"/>
          <w:sz w:val="28"/>
          <w:szCs w:val="28"/>
        </w:rPr>
        <w:t>≥</w:t>
      </w:r>
      <w:r>
        <w:rPr>
          <w:rFonts w:ascii="仿宋_GB2312" w:eastAsia="仿宋_GB2312"/>
          <w:sz w:val="28"/>
          <w:szCs w:val="28"/>
        </w:rPr>
        <w:t>60人</w:t>
      </w:r>
      <w:r>
        <w:rPr>
          <w:rFonts w:hint="eastAsia" w:ascii="仿宋_GB2312" w:eastAsia="仿宋_GB2312"/>
          <w:sz w:val="28"/>
          <w:szCs w:val="28"/>
        </w:rPr>
        <w:t>；二是新增和改善灌溉面积</w:t>
      </w:r>
      <w:r>
        <w:rPr>
          <w:rFonts w:ascii="Arial" w:hAnsi="Arial" w:eastAsia="仿宋_GB2312" w:cs="Arial"/>
          <w:sz w:val="28"/>
          <w:szCs w:val="28"/>
        </w:rPr>
        <w:t>≥</w:t>
      </w:r>
      <w:r>
        <w:rPr>
          <w:rFonts w:hint="eastAsia" w:ascii="仿宋_GB2312" w:eastAsia="仿宋_GB2312"/>
          <w:sz w:val="28"/>
          <w:szCs w:val="28"/>
        </w:rPr>
        <w:t>2</w:t>
      </w:r>
      <w:r>
        <w:rPr>
          <w:rFonts w:ascii="仿宋_GB2312" w:eastAsia="仿宋_GB2312"/>
          <w:sz w:val="28"/>
          <w:szCs w:val="28"/>
        </w:rPr>
        <w:t>30</w:t>
      </w:r>
      <w:r>
        <w:rPr>
          <w:rFonts w:hint="eastAsia" w:ascii="仿宋_GB2312" w:eastAsia="仿宋_GB2312"/>
          <w:sz w:val="28"/>
          <w:szCs w:val="28"/>
        </w:rPr>
        <w:t>亩；三是提高抵御干旱等自然灾害能力。</w:t>
      </w:r>
    </w:p>
    <w:p>
      <w:pPr>
        <w:spacing w:line="300" w:lineRule="auto"/>
        <w:ind w:firstLine="560" w:firstLineChars="200"/>
        <w:rPr>
          <w:rFonts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生态效益：形成生态种养殖季度，绿化率、周边绿植存活率大大提升8</w:t>
      </w:r>
      <w:r>
        <w:rPr>
          <w:rFonts w:ascii="仿宋_GB2312" w:eastAsia="仿宋_GB2312"/>
          <w:sz w:val="28"/>
          <w:szCs w:val="28"/>
        </w:rPr>
        <w:t>0</w:t>
      </w:r>
      <w:r>
        <w:rPr>
          <w:rFonts w:hint="eastAsia" w:ascii="仿宋_GB2312" w:eastAsia="仿宋_GB2312"/>
          <w:sz w:val="28"/>
          <w:szCs w:val="28"/>
        </w:rPr>
        <w:t>%。</w:t>
      </w:r>
    </w:p>
    <w:p>
      <w:pPr>
        <w:spacing w:line="300" w:lineRule="auto"/>
        <w:ind w:firstLine="560" w:firstLineChars="200"/>
        <w:rPr>
          <w:rFonts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可持续影响工程设计使用年限</w:t>
      </w:r>
      <w:r>
        <w:rPr>
          <w:rFonts w:ascii="Arial" w:hAnsi="Arial" w:eastAsia="仿宋_GB2312" w:cs="Arial"/>
          <w:sz w:val="28"/>
          <w:szCs w:val="28"/>
        </w:rPr>
        <w:t>≥</w:t>
      </w:r>
      <w:r>
        <w:rPr>
          <w:rFonts w:ascii="仿宋_GB2312" w:eastAsia="仿宋_GB2312"/>
          <w:sz w:val="28"/>
          <w:szCs w:val="28"/>
        </w:rPr>
        <w:t>10年</w:t>
      </w:r>
      <w:r>
        <w:rPr>
          <w:rFonts w:hint="eastAsia" w:ascii="仿宋_GB2312" w:eastAsia="仿宋_GB2312"/>
          <w:sz w:val="28"/>
          <w:szCs w:val="28"/>
        </w:rPr>
        <w:t>。</w:t>
      </w:r>
    </w:p>
    <w:p>
      <w:pPr>
        <w:spacing w:line="300" w:lineRule="auto"/>
        <w:ind w:firstLine="562" w:firstLineChars="200"/>
        <w:rPr>
          <w:rFonts w:hint="eastAsia"/>
          <w:b/>
          <w:bCs/>
          <w:sz w:val="28"/>
          <w:szCs w:val="28"/>
        </w:rPr>
      </w:pPr>
      <w:r>
        <w:rPr>
          <w:rFonts w:hint="eastAsia"/>
          <w:b/>
          <w:bCs/>
          <w:sz w:val="28"/>
          <w:szCs w:val="28"/>
        </w:rPr>
        <w:t>（五）</w:t>
      </w:r>
      <w:r>
        <w:rPr>
          <w:rFonts w:hint="eastAsia" w:ascii="宋体" w:hAnsi="宋体" w:cs="宋体"/>
          <w:b/>
          <w:bCs/>
          <w:kern w:val="0"/>
          <w:sz w:val="28"/>
          <w:szCs w:val="28"/>
          <w:lang w:val="en-US" w:eastAsia="zh-CN"/>
        </w:rPr>
        <w:t>项目申报及完成投资情况</w:t>
      </w:r>
    </w:p>
    <w:p>
      <w:pPr>
        <w:spacing w:line="300" w:lineRule="auto"/>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1、项目申报投资。项目申报</w:t>
      </w:r>
      <w:r>
        <w:rPr>
          <w:rFonts w:hint="eastAsia" w:ascii="仿宋_GB2312" w:eastAsia="仿宋_GB2312"/>
          <w:sz w:val="28"/>
          <w:szCs w:val="28"/>
        </w:rPr>
        <w:t>投资</w:t>
      </w:r>
      <w:r>
        <w:rPr>
          <w:rFonts w:hint="eastAsia" w:ascii="仿宋_GB2312" w:eastAsia="仿宋_GB2312"/>
          <w:sz w:val="28"/>
          <w:szCs w:val="28"/>
          <w:lang w:val="en-US" w:eastAsia="zh-CN"/>
        </w:rPr>
        <w:t>2,053,945.00元，其中：财政衔接资金1,400,000.00元，其他资金653,945.00元。</w:t>
      </w:r>
    </w:p>
    <w:p>
      <w:pPr>
        <w:spacing w:line="300" w:lineRule="auto"/>
        <w:ind w:firstLine="560" w:firstLineChars="200"/>
        <w:rPr>
          <w:rFonts w:hint="eastAsia"/>
          <w:b/>
          <w:bCs/>
          <w:sz w:val="28"/>
          <w:szCs w:val="28"/>
        </w:rPr>
      </w:pPr>
      <w:r>
        <w:rPr>
          <w:rFonts w:hint="eastAsia" w:ascii="仿宋_GB2312" w:eastAsia="仿宋_GB2312"/>
          <w:sz w:val="28"/>
          <w:szCs w:val="28"/>
          <w:lang w:val="en-US" w:eastAsia="zh-CN"/>
        </w:rPr>
        <w:t>2、项目完成投资。</w:t>
      </w:r>
      <w:r>
        <w:rPr>
          <w:rFonts w:hint="eastAsia" w:ascii="仿宋_GB2312" w:hAnsi="宋体" w:eastAsia="仿宋_GB2312"/>
          <w:sz w:val="28"/>
          <w:szCs w:val="28"/>
          <w:lang w:val="en-US" w:eastAsia="zh-CN"/>
        </w:rPr>
        <w:t>经审查：</w:t>
      </w:r>
      <w:r>
        <w:rPr>
          <w:rFonts w:hint="eastAsia" w:ascii="仿宋_GB2312" w:eastAsia="仿宋_GB2312"/>
          <w:sz w:val="28"/>
          <w:szCs w:val="28"/>
          <w:lang w:val="en-US" w:eastAsia="zh-CN"/>
        </w:rPr>
        <w:t>项目实际完成投资1,991,603.63元，具体情况如下：一是</w:t>
      </w:r>
      <w:r>
        <w:rPr>
          <w:rFonts w:hint="eastAsia" w:ascii="仿宋_GB2312" w:eastAsia="仿宋_GB2312"/>
          <w:sz w:val="28"/>
          <w:szCs w:val="28"/>
        </w:rPr>
        <w:t>平石村</w:t>
      </w:r>
      <w:r>
        <w:rPr>
          <w:rFonts w:hint="eastAsia" w:ascii="仿宋_GB2312" w:eastAsia="仿宋_GB2312"/>
          <w:sz w:val="28"/>
          <w:szCs w:val="28"/>
          <w:lang w:val="en-US" w:eastAsia="zh-CN"/>
        </w:rPr>
        <w:t>完成</w:t>
      </w:r>
      <w:r>
        <w:rPr>
          <w:rFonts w:hint="eastAsia" w:ascii="仿宋_GB2312" w:eastAsia="仿宋_GB2312"/>
          <w:sz w:val="28"/>
          <w:szCs w:val="28"/>
        </w:rPr>
        <w:t>投资</w:t>
      </w:r>
      <w:r>
        <w:rPr>
          <w:rFonts w:hint="eastAsia" w:ascii="仿宋_GB2312" w:eastAsia="仿宋_GB2312"/>
          <w:sz w:val="28"/>
          <w:szCs w:val="28"/>
          <w:lang w:val="en-US" w:eastAsia="zh-CN"/>
        </w:rPr>
        <w:t>1,650,358.99元，其中：工程审定投资1,627,358.99元，设计费23,000.00元。二是</w:t>
      </w:r>
      <w:r>
        <w:rPr>
          <w:rFonts w:hint="eastAsia" w:ascii="仿宋_GB2312" w:eastAsia="仿宋_GB2312"/>
          <w:sz w:val="28"/>
          <w:szCs w:val="28"/>
        </w:rPr>
        <w:t>团山村</w:t>
      </w:r>
      <w:r>
        <w:rPr>
          <w:rFonts w:hint="eastAsia" w:ascii="仿宋_GB2312" w:eastAsia="仿宋_GB2312"/>
          <w:sz w:val="28"/>
          <w:szCs w:val="28"/>
          <w:lang w:val="en-US" w:eastAsia="zh-CN"/>
        </w:rPr>
        <w:t>完成</w:t>
      </w:r>
      <w:r>
        <w:rPr>
          <w:rFonts w:hint="eastAsia" w:ascii="仿宋_GB2312" w:eastAsia="仿宋_GB2312"/>
          <w:sz w:val="28"/>
          <w:szCs w:val="28"/>
        </w:rPr>
        <w:t>投资</w:t>
      </w:r>
      <w:r>
        <w:rPr>
          <w:rFonts w:hint="eastAsia" w:ascii="仿宋_GB2312" w:eastAsia="仿宋_GB2312"/>
          <w:sz w:val="28"/>
          <w:szCs w:val="28"/>
          <w:lang w:val="en-US" w:eastAsia="zh-CN"/>
        </w:rPr>
        <w:t>341,244.64元，全部是工程投资。</w:t>
      </w:r>
    </w:p>
    <w:p>
      <w:pPr>
        <w:spacing w:line="300" w:lineRule="auto"/>
        <w:ind w:firstLine="562" w:firstLineChars="200"/>
        <w:rPr>
          <w:b/>
          <w:bCs/>
          <w:sz w:val="28"/>
          <w:szCs w:val="28"/>
        </w:rPr>
      </w:pPr>
      <w:r>
        <w:rPr>
          <w:rFonts w:hint="eastAsia"/>
          <w:b/>
          <w:bCs/>
          <w:sz w:val="28"/>
          <w:szCs w:val="28"/>
          <w:lang w:eastAsia="zh-CN"/>
        </w:rPr>
        <w:t>（</w:t>
      </w:r>
      <w:r>
        <w:rPr>
          <w:rFonts w:hint="eastAsia"/>
          <w:b/>
          <w:bCs/>
          <w:sz w:val="28"/>
          <w:szCs w:val="28"/>
          <w:lang w:val="en-US" w:eastAsia="zh-CN"/>
        </w:rPr>
        <w:t>六）项目</w:t>
      </w:r>
      <w:r>
        <w:rPr>
          <w:rFonts w:hint="eastAsia"/>
          <w:b/>
          <w:bCs/>
          <w:sz w:val="28"/>
          <w:szCs w:val="28"/>
        </w:rPr>
        <w:t>资金</w:t>
      </w:r>
      <w:r>
        <w:rPr>
          <w:rFonts w:hint="eastAsia"/>
          <w:b/>
          <w:bCs/>
          <w:sz w:val="28"/>
          <w:szCs w:val="28"/>
          <w:lang w:val="en-US" w:eastAsia="zh-CN"/>
        </w:rPr>
        <w:t>收</w:t>
      </w:r>
      <w:r>
        <w:rPr>
          <w:rFonts w:hint="eastAsia"/>
          <w:b/>
          <w:bCs/>
          <w:sz w:val="28"/>
          <w:szCs w:val="28"/>
        </w:rPr>
        <w:t>付情况</w:t>
      </w:r>
    </w:p>
    <w:p>
      <w:pPr>
        <w:spacing w:line="300" w:lineRule="auto"/>
        <w:ind w:firstLine="560" w:firstLineChars="200"/>
        <w:rPr>
          <w:rFonts w:ascii="仿宋_GB2312" w:eastAsia="仿宋_GB2312"/>
          <w:sz w:val="28"/>
          <w:szCs w:val="28"/>
        </w:rPr>
      </w:pPr>
      <w:bookmarkStart w:id="3" w:name="_Hlk152699962"/>
      <w:r>
        <w:rPr>
          <w:rFonts w:hint="eastAsia" w:ascii="仿宋_GB2312" w:eastAsia="仿宋_GB2312"/>
          <w:sz w:val="28"/>
          <w:szCs w:val="28"/>
        </w:rPr>
        <w:t>临空经济区乡村振兴财政衔接资金，采取财政直达方式，直接拨付至用款单位。</w:t>
      </w:r>
    </w:p>
    <w:bookmarkEnd w:id="3"/>
    <w:p>
      <w:pPr>
        <w:spacing w:line="300" w:lineRule="auto"/>
        <w:ind w:firstLine="560" w:firstLineChars="200"/>
        <w:rPr>
          <w:rFonts w:ascii="仿宋_GB2312" w:eastAsia="仿宋_GB2312"/>
          <w:sz w:val="28"/>
          <w:szCs w:val="28"/>
        </w:rPr>
      </w:pPr>
      <w:r>
        <w:rPr>
          <w:rFonts w:hint="eastAsia" w:ascii="仿宋_GB2312" w:eastAsia="仿宋_GB2312"/>
          <w:sz w:val="28"/>
          <w:szCs w:val="28"/>
        </w:rPr>
        <w:t>1、财政衔接资金1,400,000.00元</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（1）平石村</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该项目平石村财政衔接资金额度1</w:t>
      </w:r>
      <w:r>
        <w:rPr>
          <w:rFonts w:ascii="仿宋_GB2312" w:eastAsia="仿宋_GB2312"/>
          <w:sz w:val="28"/>
          <w:szCs w:val="28"/>
        </w:rPr>
        <w:t>,070,000</w:t>
      </w:r>
      <w:r>
        <w:rPr>
          <w:rFonts w:hint="eastAsia" w:ascii="仿宋_GB2312" w:eastAsia="仿宋_GB2312"/>
          <w:sz w:val="28"/>
          <w:szCs w:val="28"/>
        </w:rPr>
        <w:t>.</w:t>
      </w:r>
      <w:r>
        <w:rPr>
          <w:rFonts w:ascii="仿宋_GB2312" w:eastAsia="仿宋_GB2312"/>
          <w:sz w:val="28"/>
          <w:szCs w:val="28"/>
        </w:rPr>
        <w:t>00</w:t>
      </w:r>
      <w:r>
        <w:rPr>
          <w:rFonts w:hint="eastAsia" w:ascii="仿宋_GB2312" w:eastAsia="仿宋_GB2312"/>
          <w:sz w:val="28"/>
          <w:szCs w:val="28"/>
        </w:rPr>
        <w:t>元。</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截至</w:t>
      </w:r>
      <w:r>
        <w:rPr>
          <w:rFonts w:ascii="仿宋_GB2312" w:eastAsia="仿宋_GB2312"/>
          <w:sz w:val="28"/>
          <w:szCs w:val="28"/>
        </w:rPr>
        <w:t>2023</w:t>
      </w:r>
      <w:r>
        <w:rPr>
          <w:rFonts w:hint="eastAsia" w:ascii="仿宋_GB2312" w:eastAsia="仿宋_GB2312"/>
          <w:sz w:val="28"/>
          <w:szCs w:val="28"/>
        </w:rPr>
        <w:t>年11月30日，已经拨付财政衔接资金</w:t>
      </w:r>
      <w:r>
        <w:rPr>
          <w:rFonts w:ascii="仿宋_GB2312" w:eastAsia="仿宋_GB2312"/>
          <w:sz w:val="28"/>
          <w:szCs w:val="28"/>
        </w:rPr>
        <w:t>953,000.00</w:t>
      </w:r>
      <w:r>
        <w:rPr>
          <w:rFonts w:hint="eastAsia" w:ascii="仿宋_GB2312" w:eastAsia="仿宋_GB2312"/>
          <w:sz w:val="28"/>
          <w:szCs w:val="28"/>
        </w:rPr>
        <w:t>元，其中：湖北辽鄂建设工程有限公司工程款</w:t>
      </w:r>
      <w:r>
        <w:rPr>
          <w:rFonts w:ascii="仿宋_GB2312" w:eastAsia="仿宋_GB2312"/>
          <w:sz w:val="28"/>
          <w:szCs w:val="28"/>
        </w:rPr>
        <w:t>930,000.00</w:t>
      </w:r>
      <w:r>
        <w:rPr>
          <w:rFonts w:hint="eastAsia" w:ascii="仿宋_GB2312" w:eastAsia="仿宋_GB2312"/>
          <w:sz w:val="28"/>
          <w:szCs w:val="28"/>
        </w:rPr>
        <w:t>元，湖北佳境建筑设计有限公司设计费</w:t>
      </w:r>
      <w:r>
        <w:rPr>
          <w:rFonts w:ascii="仿宋_GB2312" w:eastAsia="仿宋_GB2312"/>
          <w:sz w:val="28"/>
          <w:szCs w:val="28"/>
        </w:rPr>
        <w:t>23,000.00</w:t>
      </w:r>
      <w:r>
        <w:rPr>
          <w:rFonts w:hint="eastAsia" w:ascii="仿宋_GB2312" w:eastAsia="仿宋_GB2312"/>
          <w:sz w:val="28"/>
          <w:szCs w:val="28"/>
        </w:rPr>
        <w:t>元。</w:t>
      </w:r>
    </w:p>
    <w:p>
      <w:pPr>
        <w:spacing w:line="300" w:lineRule="auto"/>
        <w:ind w:firstLine="560" w:firstLineChars="200"/>
      </w:pPr>
      <w:r>
        <w:rPr>
          <w:rFonts w:hint="eastAsia" w:ascii="仿宋_GB2312" w:eastAsia="仿宋_GB2312"/>
          <w:sz w:val="28"/>
          <w:szCs w:val="28"/>
        </w:rPr>
        <w:t>暂未拨付财政衔接资金1</w:t>
      </w:r>
      <w:r>
        <w:rPr>
          <w:rFonts w:ascii="仿宋_GB2312" w:eastAsia="仿宋_GB2312"/>
          <w:sz w:val="28"/>
          <w:szCs w:val="28"/>
        </w:rPr>
        <w:t>17,000</w:t>
      </w:r>
      <w:r>
        <w:rPr>
          <w:rFonts w:hint="eastAsia" w:ascii="仿宋_GB2312" w:eastAsia="仿宋_GB2312"/>
          <w:sz w:val="28"/>
          <w:szCs w:val="28"/>
        </w:rPr>
        <w:t>元。</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（2）团山村</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该项目团山村财政衔接资金额度</w:t>
      </w:r>
      <w:r>
        <w:rPr>
          <w:rFonts w:ascii="仿宋_GB2312" w:eastAsia="仿宋_GB2312"/>
          <w:sz w:val="28"/>
          <w:szCs w:val="28"/>
        </w:rPr>
        <w:t>330,000.00</w:t>
      </w:r>
      <w:r>
        <w:rPr>
          <w:rFonts w:hint="eastAsia" w:ascii="仿宋_GB2312" w:eastAsia="仿宋_GB2312"/>
          <w:sz w:val="28"/>
          <w:szCs w:val="28"/>
        </w:rPr>
        <w:t>元。</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截至</w:t>
      </w:r>
      <w:r>
        <w:rPr>
          <w:rFonts w:ascii="仿宋_GB2312" w:eastAsia="仿宋_GB2312"/>
          <w:sz w:val="28"/>
          <w:szCs w:val="28"/>
        </w:rPr>
        <w:t>2023</w:t>
      </w:r>
      <w:r>
        <w:rPr>
          <w:rFonts w:hint="eastAsia" w:ascii="仿宋_GB2312" w:eastAsia="仿宋_GB2312"/>
          <w:sz w:val="28"/>
          <w:szCs w:val="28"/>
        </w:rPr>
        <w:t>年11月30日，已经拨付财政衔接资金</w:t>
      </w:r>
      <w:r>
        <w:rPr>
          <w:rFonts w:ascii="仿宋_GB2312" w:eastAsia="仿宋_GB2312"/>
          <w:sz w:val="28"/>
          <w:szCs w:val="28"/>
        </w:rPr>
        <w:t>270,000.00</w:t>
      </w:r>
      <w:r>
        <w:rPr>
          <w:rFonts w:hint="eastAsia" w:ascii="仿宋_GB2312" w:eastAsia="仿宋_GB2312"/>
          <w:sz w:val="28"/>
          <w:szCs w:val="28"/>
        </w:rPr>
        <w:t>元，其中：湖北仁全建筑工程有限公司工程款2</w:t>
      </w:r>
      <w:r>
        <w:rPr>
          <w:rFonts w:ascii="仿宋_GB2312" w:eastAsia="仿宋_GB2312"/>
          <w:sz w:val="28"/>
          <w:szCs w:val="28"/>
        </w:rPr>
        <w:t>70</w:t>
      </w:r>
      <w:r>
        <w:rPr>
          <w:rFonts w:hint="eastAsia" w:ascii="仿宋_GB2312" w:eastAsia="仿宋_GB2312"/>
          <w:sz w:val="28"/>
          <w:szCs w:val="28"/>
        </w:rPr>
        <w:t>,</w:t>
      </w:r>
      <w:r>
        <w:rPr>
          <w:rFonts w:ascii="仿宋_GB2312" w:eastAsia="仿宋_GB2312"/>
          <w:sz w:val="28"/>
          <w:szCs w:val="28"/>
        </w:rPr>
        <w:t>000.00</w:t>
      </w:r>
      <w:r>
        <w:rPr>
          <w:rFonts w:hint="eastAsia" w:ascii="仿宋_GB2312" w:eastAsia="仿宋_GB2312"/>
          <w:sz w:val="28"/>
          <w:szCs w:val="28"/>
        </w:rPr>
        <w:t>元。</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暂未拨付财政衔接资金6</w:t>
      </w:r>
      <w:r>
        <w:rPr>
          <w:rFonts w:ascii="仿宋_GB2312" w:eastAsia="仿宋_GB2312"/>
          <w:sz w:val="28"/>
          <w:szCs w:val="28"/>
        </w:rPr>
        <w:t>0</w:t>
      </w:r>
      <w:r>
        <w:rPr>
          <w:rFonts w:hint="eastAsia" w:ascii="仿宋_GB2312" w:eastAsia="仿宋_GB2312"/>
          <w:sz w:val="28"/>
          <w:szCs w:val="28"/>
        </w:rPr>
        <w:t>,</w:t>
      </w:r>
      <w:r>
        <w:rPr>
          <w:rFonts w:ascii="仿宋_GB2312" w:eastAsia="仿宋_GB2312"/>
          <w:sz w:val="28"/>
          <w:szCs w:val="28"/>
        </w:rPr>
        <w:t>000.00</w:t>
      </w:r>
      <w:r>
        <w:rPr>
          <w:rFonts w:hint="eastAsia" w:ascii="仿宋_GB2312" w:eastAsia="仿宋_GB2312"/>
          <w:sz w:val="28"/>
          <w:szCs w:val="28"/>
        </w:rPr>
        <w:t>元。</w:t>
      </w:r>
    </w:p>
    <w:p>
      <w:pPr>
        <w:spacing w:line="300"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2、其他资金</w:t>
      </w:r>
      <w:r>
        <w:rPr>
          <w:rFonts w:hint="eastAsia" w:ascii="仿宋_GB2312" w:eastAsia="仿宋_GB2312"/>
          <w:sz w:val="28"/>
          <w:szCs w:val="28"/>
          <w:highlight w:val="none"/>
          <w:lang w:val="en-US" w:eastAsia="zh-CN"/>
        </w:rPr>
        <w:t>情况</w:t>
      </w:r>
      <w:r>
        <w:rPr>
          <w:rFonts w:hint="eastAsia" w:ascii="仿宋_GB2312" w:eastAsia="仿宋_GB2312"/>
          <w:sz w:val="28"/>
          <w:szCs w:val="28"/>
          <w:highlight w:val="none"/>
        </w:rPr>
        <w:t>。</w:t>
      </w:r>
    </w:p>
    <w:p>
      <w:pPr>
        <w:spacing w:line="300" w:lineRule="auto"/>
        <w:ind w:firstLine="560" w:firstLineChars="200"/>
        <w:rPr>
          <w:rFonts w:ascii="仿宋_GB2312" w:eastAsia="仿宋_GB2312"/>
          <w:sz w:val="28"/>
          <w:szCs w:val="28"/>
          <w:highlight w:val="yellow"/>
        </w:rPr>
      </w:pPr>
      <w:r>
        <w:rPr>
          <w:rFonts w:hint="eastAsia" w:ascii="仿宋_GB2312" w:eastAsia="仿宋_GB2312"/>
          <w:sz w:val="28"/>
          <w:szCs w:val="28"/>
          <w:highlight w:val="none"/>
        </w:rPr>
        <w:t>平石村、团山村农业生产基地改造项目自筹资金，村级没有专账核算。根据双方签订的合同约定</w:t>
      </w:r>
      <w:r>
        <w:rPr>
          <w:rFonts w:hint="eastAsia" w:ascii="仿宋_GB2312" w:eastAsia="仿宋_GB2312"/>
          <w:sz w:val="28"/>
          <w:szCs w:val="28"/>
          <w:highlight w:val="none"/>
          <w:lang w:val="en-US" w:eastAsia="zh-CN"/>
        </w:rPr>
        <w:t>和工程结算审定结果</w:t>
      </w:r>
      <w:r>
        <w:rPr>
          <w:rFonts w:hint="eastAsia" w:ascii="仿宋_GB2312" w:eastAsia="仿宋_GB2312"/>
          <w:sz w:val="28"/>
          <w:szCs w:val="28"/>
          <w:highlight w:val="none"/>
        </w:rPr>
        <w:t>，平石村、团山村农业生产基地改造项目应付投资</w:t>
      </w:r>
      <w:r>
        <w:rPr>
          <w:rFonts w:hint="eastAsia" w:ascii="仿宋_GB2312" w:eastAsia="仿宋_GB2312"/>
          <w:sz w:val="28"/>
          <w:szCs w:val="28"/>
          <w:highlight w:val="none"/>
          <w:lang w:val="en-US" w:eastAsia="zh-CN"/>
        </w:rPr>
        <w:t>1,991,603.63</w:t>
      </w:r>
      <w:r>
        <w:rPr>
          <w:rFonts w:ascii="仿宋_GB2312" w:eastAsia="仿宋_GB2312"/>
          <w:sz w:val="28"/>
          <w:szCs w:val="28"/>
          <w:highlight w:val="none"/>
        </w:rPr>
        <w:t>元，扣除财政衔接资金</w:t>
      </w:r>
      <w:r>
        <w:rPr>
          <w:rFonts w:hint="eastAsia" w:ascii="仿宋_GB2312" w:eastAsia="仿宋_GB2312"/>
          <w:sz w:val="28"/>
          <w:szCs w:val="28"/>
          <w:highlight w:val="none"/>
        </w:rPr>
        <w:t>1,400,000.00</w:t>
      </w:r>
      <w:r>
        <w:rPr>
          <w:rFonts w:ascii="仿宋_GB2312" w:eastAsia="仿宋_GB2312"/>
          <w:sz w:val="28"/>
          <w:szCs w:val="28"/>
          <w:highlight w:val="none"/>
        </w:rPr>
        <w:t>元，村级实际应自筹资金</w:t>
      </w:r>
      <w:r>
        <w:rPr>
          <w:rFonts w:hint="eastAsia" w:ascii="仿宋_GB2312" w:eastAsia="仿宋_GB2312"/>
          <w:sz w:val="28"/>
          <w:szCs w:val="28"/>
          <w:highlight w:val="none"/>
          <w:lang w:val="en-US" w:eastAsia="zh-CN"/>
        </w:rPr>
        <w:t>591,603.63</w:t>
      </w:r>
      <w:r>
        <w:rPr>
          <w:rFonts w:ascii="仿宋_GB2312" w:eastAsia="仿宋_GB2312"/>
          <w:sz w:val="28"/>
          <w:szCs w:val="28"/>
          <w:highlight w:val="none"/>
        </w:rPr>
        <w:t>元。</w:t>
      </w:r>
      <w:r>
        <w:rPr>
          <w:rFonts w:hint="eastAsia" w:ascii="仿宋_GB2312" w:eastAsia="仿宋_GB2312"/>
          <w:sz w:val="28"/>
          <w:szCs w:val="28"/>
          <w:highlight w:val="none"/>
          <w:lang w:val="en-US" w:eastAsia="zh-CN"/>
        </w:rPr>
        <w:t>而绩效目标批复的其他资金653,945.00元（调整后金额）。其他资金尚未自筹到位金额62,341.37元。</w:t>
      </w:r>
    </w:p>
    <w:p>
      <w:pPr>
        <w:spacing w:line="300" w:lineRule="auto"/>
        <w:ind w:firstLine="413" w:firstLineChars="147"/>
        <w:rPr>
          <w:b/>
          <w:bCs/>
          <w:sz w:val="28"/>
          <w:szCs w:val="28"/>
        </w:rPr>
      </w:pPr>
      <w:r>
        <w:rPr>
          <w:rFonts w:hint="eastAsia"/>
          <w:b/>
          <w:bCs/>
          <w:sz w:val="28"/>
          <w:szCs w:val="28"/>
        </w:rPr>
        <w:t>二、绩效评价工作情况</w:t>
      </w:r>
    </w:p>
    <w:p>
      <w:pPr>
        <w:spacing w:line="300" w:lineRule="auto"/>
        <w:ind w:firstLine="413" w:firstLineChars="147"/>
        <w:rPr>
          <w:b/>
          <w:bCs/>
          <w:sz w:val="28"/>
          <w:szCs w:val="28"/>
        </w:rPr>
      </w:pPr>
      <w:r>
        <w:rPr>
          <w:rFonts w:hint="eastAsia"/>
          <w:b/>
          <w:bCs/>
          <w:sz w:val="28"/>
          <w:szCs w:val="28"/>
        </w:rPr>
        <w:t>（一）绩效评价目的</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通过本次评价，旨在全面了解平石村、团山村农业生产基地项目建设情况、财政衔接资金拨付和使用情况以及取得的综合绩效。同时通过对项目资金绩效评价，总结经验、发现问题、提出改进建议，保证项目资金使用管理的规范性、安全性和有效性。推进农业健康、可持续发展做出积极的贡献。</w:t>
      </w:r>
    </w:p>
    <w:p>
      <w:pPr>
        <w:spacing w:line="300" w:lineRule="auto"/>
        <w:ind w:firstLine="413" w:firstLineChars="147"/>
        <w:rPr>
          <w:b/>
          <w:bCs/>
          <w:sz w:val="28"/>
          <w:szCs w:val="28"/>
        </w:rPr>
      </w:pPr>
      <w:r>
        <w:rPr>
          <w:rFonts w:hint="eastAsia"/>
          <w:b/>
          <w:bCs/>
          <w:sz w:val="28"/>
          <w:szCs w:val="28"/>
        </w:rPr>
        <w:t>（二）评价对象与范围</w:t>
      </w:r>
    </w:p>
    <w:p>
      <w:pPr>
        <w:spacing w:line="300" w:lineRule="auto"/>
        <w:ind w:firstLine="560" w:firstLineChars="200"/>
        <w:rPr>
          <w:rFonts w:hint="eastAsia"/>
          <w:b/>
          <w:bCs/>
          <w:sz w:val="28"/>
          <w:szCs w:val="28"/>
        </w:rPr>
      </w:pPr>
      <w:r>
        <w:rPr>
          <w:rFonts w:hint="eastAsia" w:ascii="仿宋_GB2312" w:eastAsia="仿宋_GB2312"/>
          <w:sz w:val="28"/>
          <w:szCs w:val="28"/>
        </w:rPr>
        <w:t>本次资金绩效评价对象与范围为：平石村、团山村农业生产基地项目财政衔接资金1,400,000.00元和其他资金6</w:t>
      </w:r>
      <w:r>
        <w:rPr>
          <w:rFonts w:ascii="仿宋_GB2312" w:eastAsia="仿宋_GB2312"/>
          <w:sz w:val="28"/>
          <w:szCs w:val="28"/>
        </w:rPr>
        <w:t>53,945.</w:t>
      </w:r>
      <w:r>
        <w:rPr>
          <w:rFonts w:hint="eastAsia" w:ascii="仿宋_GB2312" w:eastAsia="仿宋_GB2312"/>
          <w:sz w:val="28"/>
          <w:szCs w:val="28"/>
        </w:rPr>
        <w:t>0</w:t>
      </w:r>
      <w:r>
        <w:rPr>
          <w:rFonts w:ascii="仿宋_GB2312" w:eastAsia="仿宋_GB2312"/>
          <w:sz w:val="28"/>
          <w:szCs w:val="28"/>
        </w:rPr>
        <w:t>0</w:t>
      </w:r>
      <w:r>
        <w:rPr>
          <w:rFonts w:hint="eastAsia" w:ascii="仿宋_GB2312" w:eastAsia="仿宋_GB2312"/>
          <w:sz w:val="28"/>
          <w:szCs w:val="28"/>
        </w:rPr>
        <w:t>元的拨付和使用情况。</w:t>
      </w:r>
    </w:p>
    <w:p>
      <w:pPr>
        <w:spacing w:line="300" w:lineRule="auto"/>
        <w:ind w:firstLine="562" w:firstLineChars="200"/>
        <w:rPr>
          <w:b/>
          <w:bCs/>
          <w:sz w:val="28"/>
          <w:szCs w:val="28"/>
        </w:rPr>
      </w:pPr>
      <w:r>
        <w:rPr>
          <w:rFonts w:hint="eastAsia" w:ascii="黑体" w:hAnsi="黑体" w:eastAsia="黑体" w:cs="黑体"/>
          <w:b/>
          <w:bCs/>
          <w:sz w:val="28"/>
          <w:szCs w:val="28"/>
        </w:rPr>
        <w:t>二、评价结论</w:t>
      </w:r>
    </w:p>
    <w:p>
      <w:pPr>
        <w:spacing w:line="300" w:lineRule="auto"/>
        <w:ind w:firstLine="413" w:firstLineChars="147"/>
        <w:rPr>
          <w:b/>
          <w:bCs/>
          <w:sz w:val="28"/>
          <w:szCs w:val="28"/>
        </w:rPr>
      </w:pPr>
      <w:r>
        <w:rPr>
          <w:rFonts w:hint="eastAsia"/>
          <w:b/>
          <w:bCs/>
          <w:sz w:val="28"/>
          <w:szCs w:val="28"/>
        </w:rPr>
        <w:t>（一）评分结果</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平石村、团山村农业生产基地项目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经评价工作组评定，平石村、团山村农业生产基地项目财政衔接资金绩效评价综合得分为</w:t>
      </w:r>
      <w:r>
        <w:rPr>
          <w:rFonts w:hint="eastAsia" w:ascii="仿宋_GB2312" w:eastAsia="仿宋_GB2312"/>
          <w:sz w:val="28"/>
          <w:szCs w:val="28"/>
          <w:highlight w:val="none"/>
          <w:lang w:val="en-US" w:eastAsia="zh-CN"/>
        </w:rPr>
        <w:t>92.5</w:t>
      </w:r>
      <w:r>
        <w:rPr>
          <w:rFonts w:hint="eastAsia" w:ascii="仿宋_GB2312" w:eastAsia="仿宋_GB2312"/>
          <w:sz w:val="28"/>
          <w:szCs w:val="28"/>
        </w:rPr>
        <w:t>分，绩效等级为</w:t>
      </w:r>
      <w:r>
        <w:rPr>
          <w:rFonts w:hint="eastAsia" w:ascii="仿宋_GB2312" w:eastAsia="仿宋_GB2312"/>
          <w:sz w:val="28"/>
          <w:szCs w:val="28"/>
          <w:lang w:val="en-US" w:eastAsia="zh-CN"/>
        </w:rPr>
        <w:t>优</w:t>
      </w:r>
      <w:r>
        <w:rPr>
          <w:rFonts w:hint="eastAsia" w:ascii="仿宋_GB2312" w:eastAsia="仿宋_GB2312"/>
          <w:sz w:val="28"/>
          <w:szCs w:val="28"/>
        </w:rPr>
        <w:t>。</w:t>
      </w:r>
    </w:p>
    <w:tbl>
      <w:tblPr>
        <w:tblStyle w:val="7"/>
        <w:tblW w:w="8700" w:type="dxa"/>
        <w:tblInd w:w="96" w:type="dxa"/>
        <w:tblLayout w:type="fixed"/>
        <w:tblCellMar>
          <w:top w:w="0" w:type="dxa"/>
          <w:left w:w="108" w:type="dxa"/>
          <w:bottom w:w="0" w:type="dxa"/>
          <w:right w:w="108" w:type="dxa"/>
        </w:tblCellMar>
      </w:tblPr>
      <w:tblGrid>
        <w:gridCol w:w="779"/>
        <w:gridCol w:w="576"/>
        <w:gridCol w:w="1260"/>
        <w:gridCol w:w="624"/>
        <w:gridCol w:w="2076"/>
        <w:gridCol w:w="684"/>
        <w:gridCol w:w="485"/>
        <w:gridCol w:w="2216"/>
      </w:tblGrid>
      <w:tr>
        <w:tblPrEx>
          <w:tblCellMar>
            <w:top w:w="0" w:type="dxa"/>
            <w:left w:w="108" w:type="dxa"/>
            <w:bottom w:w="0" w:type="dxa"/>
            <w:right w:w="108" w:type="dxa"/>
          </w:tblCellMar>
        </w:tblPrEx>
        <w:trPr>
          <w:trHeight w:val="288" w:hRule="atLeast"/>
        </w:trPr>
        <w:tc>
          <w:tcPr>
            <w:tcW w:w="8700" w:type="dxa"/>
            <w:gridSpan w:val="8"/>
            <w:tcBorders>
              <w:top w:val="nil"/>
              <w:left w:val="nil"/>
              <w:bottom w:val="nil"/>
              <w:right w:val="nil"/>
            </w:tcBorders>
            <w:noWrap/>
            <w:vAlign w:val="center"/>
          </w:tcPr>
          <w:p>
            <w:pPr>
              <w:jc w:val="center"/>
              <w:textAlignment w:val="center"/>
              <w:rPr>
                <w:color w:val="000000"/>
                <w:sz w:val="22"/>
                <w:szCs w:val="22"/>
              </w:rPr>
            </w:pPr>
            <w:r>
              <w:rPr>
                <w:rFonts w:hint="eastAsia"/>
                <w:color w:val="000000"/>
                <w:sz w:val="22"/>
                <w:szCs w:val="22"/>
                <w:lang w:bidi="ar"/>
              </w:rPr>
              <w:t>平石村、团山村农业生产基地项目评分体系和得分简表</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一级</w:t>
            </w:r>
          </w:p>
        </w:tc>
        <w:tc>
          <w:tcPr>
            <w:tcW w:w="5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分</w:t>
            </w:r>
          </w:p>
        </w:tc>
        <w:tc>
          <w:tcPr>
            <w:tcW w:w="12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二级</w:t>
            </w:r>
          </w:p>
        </w:tc>
        <w:tc>
          <w:tcPr>
            <w:tcW w:w="62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分</w:t>
            </w:r>
          </w:p>
        </w:tc>
        <w:tc>
          <w:tcPr>
            <w:tcW w:w="207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三级指标</w:t>
            </w:r>
          </w:p>
        </w:tc>
        <w:tc>
          <w:tcPr>
            <w:tcW w:w="6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分</w:t>
            </w:r>
          </w:p>
        </w:tc>
        <w:tc>
          <w:tcPr>
            <w:tcW w:w="4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得分</w:t>
            </w:r>
          </w:p>
        </w:tc>
        <w:tc>
          <w:tcPr>
            <w:tcW w:w="221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失分原因</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指标</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值</w:t>
            </w:r>
          </w:p>
        </w:tc>
        <w:tc>
          <w:tcPr>
            <w:tcW w:w="20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b/>
                <w:bCs/>
                <w:i w:val="0"/>
                <w:iCs w:val="0"/>
                <w:color w:val="000000"/>
                <w:kern w:val="0"/>
                <w:sz w:val="20"/>
                <w:szCs w:val="20"/>
                <w:u w:val="none"/>
                <w:lang w:val="en-US" w:eastAsia="zh-CN" w:bidi="ar"/>
                <w14:ligatures w14:val="standardContextual"/>
              </w:rPr>
              <w:t>值</w:t>
            </w:r>
          </w:p>
        </w:tc>
        <w:tc>
          <w:tcPr>
            <w:tcW w:w="4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highlight w:val="yellow"/>
              </w:rPr>
            </w:pPr>
          </w:p>
        </w:tc>
        <w:tc>
          <w:tcPr>
            <w:tcW w:w="221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决策</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18</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项目立项</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6</w:t>
            </w:r>
          </w:p>
        </w:tc>
        <w:tc>
          <w:tcPr>
            <w:tcW w:w="20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立项依据充分性</w:t>
            </w: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立项程序规范性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绩效目标</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7</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绩效目标合理性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绩效指标的批复</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资金投入</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5</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财政衔接资金明确性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其他配套资金明确性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过程</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30</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资金落实</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6</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资金到位率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3.5</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资金到位率不高</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到位及时率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1</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资金到位不及时</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财务管理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9</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资金拨付方式是否规范</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资金使用合规性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财务监控有效性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业务管理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12</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管理制度健全性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制度执行有效性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项目质量可控性</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档案管理</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档案规范性</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3</w:t>
            </w:r>
          </w:p>
        </w:tc>
        <w:tc>
          <w:tcPr>
            <w:tcW w:w="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2</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个别资料收集不齐全</w:t>
            </w: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产出</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25</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目标完成情况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18</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产出数量</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7</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7</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产出质量</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6</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6</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产出时效（项目完成及时率）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5</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5</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资金使用情况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7</w:t>
            </w: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资金使用率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成本节约率</w:t>
            </w: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48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righ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rPr>
            </w:pPr>
            <w:r>
              <w:rPr>
                <w:rFonts w:hint="eastAsia" w:ascii="宋体" w:hAnsi="宋体" w:eastAsia="宋体" w:cs="宋体"/>
                <w:i w:val="0"/>
                <w:iCs w:val="0"/>
                <w:color w:val="000000"/>
                <w:kern w:val="0"/>
                <w:sz w:val="20"/>
                <w:szCs w:val="20"/>
                <w:u w:val="none"/>
                <w:lang w:val="en-US" w:eastAsia="zh-CN" w:bidi="ar"/>
                <w14:ligatures w14:val="standardContextual"/>
              </w:rPr>
              <w:t>效果</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27</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社会经济效益</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17</w:t>
            </w: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经济效益</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5</w:t>
            </w:r>
          </w:p>
        </w:tc>
        <w:tc>
          <w:tcPr>
            <w:tcW w:w="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5</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社会效益</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生态效益</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rPr>
            </w:pP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服务对象满意度</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4</w:t>
            </w:r>
          </w:p>
        </w:tc>
        <w:tc>
          <w:tcPr>
            <w:tcW w:w="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4</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可持续影响</w:t>
            </w: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7</w:t>
            </w: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建后经营管理</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7</w:t>
            </w:r>
          </w:p>
        </w:tc>
        <w:tc>
          <w:tcPr>
            <w:tcW w:w="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5</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未见管护制度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rPr>
            </w:pP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3</w:t>
            </w:r>
          </w:p>
        </w:tc>
        <w:tc>
          <w:tcPr>
            <w:tcW w:w="20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群众满意度</w:t>
            </w:r>
          </w:p>
        </w:tc>
        <w:tc>
          <w:tcPr>
            <w:tcW w:w="6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rPr>
            </w:pPr>
            <w:r>
              <w:rPr>
                <w:rFonts w:hint="default" w:ascii="楷体_GB2312" w:hAnsi="宋体" w:eastAsia="楷体_GB2312" w:cs="楷体_GB2312"/>
                <w:i w:val="0"/>
                <w:iCs w:val="0"/>
                <w:color w:val="000000"/>
                <w:kern w:val="0"/>
                <w:sz w:val="20"/>
                <w:szCs w:val="20"/>
                <w:u w:val="none"/>
                <w:lang w:val="en-US" w:eastAsia="zh-CN" w:bidi="ar"/>
                <w14:ligatures w14:val="standardContextual"/>
              </w:rPr>
              <w:t>3</w:t>
            </w:r>
          </w:p>
        </w:tc>
        <w:tc>
          <w:tcPr>
            <w:tcW w:w="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楷体_GB2312" w:eastAsia="楷体_GB2312" w:cs="楷体_GB2312"/>
                <w:color w:val="000000"/>
                <w:sz w:val="20"/>
                <w:szCs w:val="20"/>
                <w:highlight w:val="yellow"/>
              </w:rPr>
            </w:pPr>
            <w:r>
              <w:rPr>
                <w:rFonts w:hint="eastAsia" w:ascii="宋体" w:hAnsi="宋体" w:eastAsia="宋体" w:cs="宋体"/>
                <w:i w:val="0"/>
                <w:iCs w:val="0"/>
                <w:color w:val="000000"/>
                <w:kern w:val="0"/>
                <w:sz w:val="20"/>
                <w:szCs w:val="20"/>
                <w:u w:val="none"/>
                <w:lang w:val="en-US" w:eastAsia="zh-CN" w:bidi="ar"/>
                <w14:ligatures w14:val="standardContextual"/>
              </w:rPr>
              <w:t>3</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yellow"/>
              </w:rPr>
            </w:pP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总分</w:t>
            </w:r>
          </w:p>
        </w:tc>
        <w:tc>
          <w:tcPr>
            <w:tcW w:w="5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100</w:t>
            </w:r>
          </w:p>
        </w:tc>
        <w:tc>
          <w:tcPr>
            <w:tcW w:w="1260"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6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100</w:t>
            </w:r>
          </w:p>
        </w:tc>
        <w:tc>
          <w:tcPr>
            <w:tcW w:w="2076"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100</w:t>
            </w:r>
          </w:p>
        </w:tc>
        <w:tc>
          <w:tcPr>
            <w:tcW w:w="48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color w:val="000000"/>
                <w:sz w:val="20"/>
                <w:szCs w:val="20"/>
              </w:rPr>
            </w:pPr>
            <w:r>
              <w:rPr>
                <w:rFonts w:hint="eastAsia" w:ascii="宋体" w:hAnsi="宋体" w:eastAsia="宋体" w:cs="宋体"/>
                <w:i w:val="0"/>
                <w:iCs w:val="0"/>
                <w:color w:val="000000"/>
                <w:kern w:val="0"/>
                <w:sz w:val="20"/>
                <w:szCs w:val="20"/>
                <w:u w:val="none"/>
                <w:lang w:val="en-US" w:eastAsia="zh-CN" w:bidi="ar"/>
                <w14:ligatures w14:val="standardContextual"/>
              </w:rPr>
              <w:t>92.5</w:t>
            </w:r>
          </w:p>
        </w:tc>
        <w:tc>
          <w:tcPr>
            <w:tcW w:w="2216"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rPr>
            </w:pPr>
          </w:p>
        </w:tc>
      </w:tr>
    </w:tbl>
    <w:p>
      <w:pPr>
        <w:spacing w:line="300" w:lineRule="auto"/>
        <w:ind w:firstLine="562" w:firstLineChars="200"/>
        <w:outlineLvl w:val="0"/>
        <w:rPr>
          <w:b/>
          <w:sz w:val="28"/>
          <w:szCs w:val="28"/>
        </w:rPr>
      </w:pPr>
    </w:p>
    <w:p>
      <w:pPr>
        <w:spacing w:line="300" w:lineRule="auto"/>
        <w:ind w:firstLine="562" w:firstLineChars="200"/>
        <w:outlineLvl w:val="0"/>
        <w:rPr>
          <w:rFonts w:ascii="仿宋_GB2312"/>
          <w:b/>
          <w:sz w:val="28"/>
          <w:szCs w:val="28"/>
        </w:rPr>
      </w:pPr>
      <w:r>
        <w:rPr>
          <w:rFonts w:hint="eastAsia"/>
          <w:b/>
          <w:sz w:val="28"/>
          <w:szCs w:val="28"/>
        </w:rPr>
        <w:t>（二）</w:t>
      </w:r>
      <w:r>
        <w:rPr>
          <w:rFonts w:hint="eastAsia" w:ascii="仿宋_GB2312"/>
          <w:b/>
          <w:sz w:val="28"/>
          <w:szCs w:val="28"/>
        </w:rPr>
        <w:t>主要结论</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通过对两村农业生产基地项目财政衔接资金在投入、过程、产出和效果等方面的综合评价，得出如下结论：</w:t>
      </w:r>
    </w:p>
    <w:p>
      <w:pPr>
        <w:spacing w:line="300" w:lineRule="auto"/>
        <w:ind w:firstLine="560" w:firstLineChars="200"/>
        <w:jc w:val="both"/>
        <w:rPr>
          <w:rFonts w:ascii="仿宋_GB2312" w:eastAsia="仿宋_GB2312"/>
          <w:sz w:val="28"/>
          <w:szCs w:val="28"/>
        </w:rPr>
      </w:pPr>
      <w:r>
        <w:rPr>
          <w:rFonts w:hint="eastAsia" w:ascii="仿宋_GB2312" w:eastAsia="仿宋_GB2312"/>
          <w:sz w:val="28"/>
          <w:szCs w:val="28"/>
        </w:rPr>
        <w:t>1、两村农业生产基地项目的立项，符合国家乡村振兴政策，契合两个村农业的实际情况。项目所设定的绩效目标依据充分，符合客观事实；根据绩效目标设定的绩效指标较为明确。</w:t>
      </w:r>
    </w:p>
    <w:p>
      <w:pPr>
        <w:spacing w:line="300" w:lineRule="auto"/>
        <w:ind w:firstLine="560" w:firstLineChars="200"/>
        <w:jc w:val="both"/>
        <w:rPr>
          <w:rFonts w:ascii="仿宋_GB2312" w:eastAsia="仿宋_GB2312"/>
          <w:sz w:val="28"/>
          <w:szCs w:val="28"/>
        </w:rPr>
      </w:pPr>
      <w:r>
        <w:rPr>
          <w:rFonts w:hint="eastAsia" w:ascii="仿宋_GB2312" w:eastAsia="仿宋_GB2312"/>
          <w:sz w:val="28"/>
          <w:szCs w:val="28"/>
        </w:rPr>
        <w:t>2、项目在工程管理、财务管理等方面，基本符合国家政策要求。</w:t>
      </w:r>
      <w:r>
        <w:rPr>
          <w:rFonts w:hint="eastAsia" w:ascii="仿宋_GB2312" w:eastAsia="仿宋_GB2312"/>
          <w:sz w:val="28"/>
          <w:szCs w:val="28"/>
          <w:lang w:val="en-US" w:eastAsia="zh-CN"/>
        </w:rPr>
        <w:t>但是，未实行工程监理制度，也没有提供后期管护资料</w:t>
      </w:r>
      <w:r>
        <w:rPr>
          <w:rFonts w:hint="eastAsia" w:ascii="仿宋_GB2312" w:eastAsia="仿宋_GB2312"/>
          <w:sz w:val="28"/>
          <w:szCs w:val="28"/>
        </w:rPr>
        <w:t>。</w:t>
      </w:r>
    </w:p>
    <w:p>
      <w:pPr>
        <w:spacing w:line="300" w:lineRule="auto"/>
        <w:ind w:firstLine="562" w:firstLineChars="200"/>
        <w:rPr>
          <w:b/>
          <w:bCs/>
          <w:sz w:val="28"/>
          <w:szCs w:val="28"/>
        </w:rPr>
      </w:pPr>
      <w:r>
        <w:rPr>
          <w:rFonts w:hint="eastAsia" w:ascii="黑体" w:hAnsi="黑体" w:eastAsia="黑体" w:cs="黑体"/>
          <w:b/>
          <w:bCs/>
          <w:sz w:val="28"/>
          <w:szCs w:val="28"/>
        </w:rPr>
        <w:t>三、项目</w:t>
      </w:r>
      <w:r>
        <w:rPr>
          <w:rFonts w:hint="eastAsia" w:ascii="黑体" w:hAnsi="黑体" w:eastAsia="黑体" w:cs="黑体"/>
          <w:b/>
          <w:sz w:val="28"/>
          <w:szCs w:val="28"/>
        </w:rPr>
        <w:t>主要经验、存在的问题和建议</w:t>
      </w:r>
    </w:p>
    <w:p>
      <w:pPr>
        <w:spacing w:line="300" w:lineRule="auto"/>
        <w:ind w:firstLine="540" w:firstLineChars="192"/>
        <w:rPr>
          <w:rFonts w:ascii="仿宋_GB2312"/>
          <w:b/>
          <w:sz w:val="28"/>
          <w:szCs w:val="28"/>
        </w:rPr>
      </w:pPr>
      <w:r>
        <w:rPr>
          <w:rFonts w:hint="eastAsia"/>
          <w:b/>
          <w:bCs/>
          <w:sz w:val="28"/>
          <w:szCs w:val="28"/>
        </w:rPr>
        <w:t>（一）</w:t>
      </w:r>
      <w:r>
        <w:rPr>
          <w:rFonts w:hint="eastAsia" w:ascii="仿宋_GB2312"/>
          <w:b/>
          <w:sz w:val="28"/>
          <w:szCs w:val="28"/>
        </w:rPr>
        <w:t>主要经验和做法</w:t>
      </w:r>
    </w:p>
    <w:p>
      <w:pPr>
        <w:spacing w:line="300" w:lineRule="auto"/>
        <w:ind w:firstLine="537" w:firstLineChars="192"/>
        <w:rPr>
          <w:rFonts w:ascii="仿宋_GB2312" w:eastAsia="仿宋_GB2312"/>
          <w:sz w:val="28"/>
          <w:szCs w:val="28"/>
        </w:rPr>
      </w:pPr>
      <w:r>
        <w:rPr>
          <w:rFonts w:hint="eastAsia" w:ascii="仿宋_GB2312" w:eastAsia="仿宋_GB2312"/>
          <w:sz w:val="28"/>
          <w:szCs w:val="28"/>
        </w:rPr>
        <w:t>一是项目前期准备充分。在申报平石村、团山村农业生产基地项目前，两个村严格执行了“四议两公开”的程序，让项目获得了群众极大的认同感，有广泛的群众基础。且经过“两上两下”的流程，让项目获得财政衔接资金符合国家的产业政策。</w:t>
      </w:r>
    </w:p>
    <w:p>
      <w:pPr>
        <w:spacing w:line="300" w:lineRule="auto"/>
        <w:ind w:firstLine="537" w:firstLineChars="192"/>
        <w:rPr>
          <w:rFonts w:ascii="仿宋_GB2312" w:eastAsia="仿宋_GB2312"/>
          <w:sz w:val="28"/>
          <w:szCs w:val="28"/>
        </w:rPr>
      </w:pPr>
      <w:r>
        <w:rPr>
          <w:rFonts w:hint="eastAsia" w:ascii="仿宋_GB2312" w:eastAsia="仿宋_GB2312"/>
          <w:sz w:val="28"/>
          <w:szCs w:val="28"/>
        </w:rPr>
        <w:t>二是临空区财金局高度重视项目绩效管理。对杨叶镇上报的项目绩效进行审核和批复，并按规定进行公示，确保项目绩效设置比较合理、方便考核。</w:t>
      </w:r>
    </w:p>
    <w:p>
      <w:pPr>
        <w:spacing w:line="300" w:lineRule="auto"/>
        <w:ind w:firstLine="537" w:firstLineChars="192"/>
        <w:rPr>
          <w:rFonts w:hint="eastAsia" w:ascii="仿宋_GB2312" w:eastAsia="仿宋_GB2312"/>
          <w:sz w:val="28"/>
          <w:szCs w:val="28"/>
        </w:rPr>
      </w:pPr>
      <w:r>
        <w:rPr>
          <w:rFonts w:hint="eastAsia" w:ascii="仿宋_GB2312" w:eastAsia="仿宋_GB2312"/>
          <w:sz w:val="28"/>
          <w:szCs w:val="28"/>
        </w:rPr>
        <w:t>三是项目单位按照《实施方案》的要求，规范实施程序。两村农业生产基地项目得到区级批复后，两个村立即启动项目招标，选择施工队伍。同时，为规范项目质量，对项目实行合同制和竣工结算等管理制度。</w:t>
      </w:r>
    </w:p>
    <w:p>
      <w:pPr>
        <w:spacing w:line="300" w:lineRule="auto"/>
        <w:ind w:firstLine="537" w:firstLineChars="192"/>
        <w:rPr>
          <w:rFonts w:ascii="仿宋_GB2312" w:eastAsia="仿宋_GB2312"/>
          <w:sz w:val="28"/>
          <w:szCs w:val="28"/>
        </w:rPr>
      </w:pPr>
      <w:r>
        <w:rPr>
          <w:rFonts w:hint="eastAsia" w:ascii="仿宋_GB2312" w:eastAsia="仿宋_GB2312"/>
          <w:sz w:val="28"/>
          <w:szCs w:val="28"/>
        </w:rPr>
        <w:t>四是逐层申报项目资金。项目实施过程中，采取“村申请、乡审核、区主管部门申报、管委会批准”的方式，下拨项目资金，确保资金按进度拨付，按渠道使用。</w:t>
      </w:r>
    </w:p>
    <w:p>
      <w:pPr>
        <w:spacing w:line="300" w:lineRule="auto"/>
        <w:ind w:firstLine="540" w:firstLineChars="192"/>
        <w:rPr>
          <w:b/>
          <w:bCs/>
          <w:sz w:val="28"/>
          <w:szCs w:val="28"/>
        </w:rPr>
      </w:pPr>
      <w:r>
        <w:rPr>
          <w:rFonts w:hint="eastAsia" w:ascii="仿宋_GB2312"/>
          <w:b/>
          <w:sz w:val="28"/>
          <w:szCs w:val="28"/>
        </w:rPr>
        <w:t>（二）</w:t>
      </w:r>
      <w:r>
        <w:rPr>
          <w:rFonts w:hint="eastAsia"/>
          <w:b/>
          <w:bCs/>
          <w:sz w:val="28"/>
          <w:szCs w:val="28"/>
        </w:rPr>
        <w:t>存在的主要问题</w:t>
      </w:r>
    </w:p>
    <w:p>
      <w:pPr>
        <w:spacing w:line="300" w:lineRule="auto"/>
        <w:ind w:firstLine="537" w:firstLineChars="192"/>
        <w:jc w:val="both"/>
        <w:rPr>
          <w:rFonts w:ascii="仿宋_GB2312" w:eastAsia="仿宋_GB2312"/>
          <w:sz w:val="28"/>
          <w:szCs w:val="28"/>
        </w:rPr>
      </w:pPr>
      <w:r>
        <w:rPr>
          <w:rFonts w:hint="eastAsia" w:ascii="仿宋_GB2312" w:eastAsia="仿宋_GB2312"/>
          <w:sz w:val="28"/>
          <w:szCs w:val="28"/>
        </w:rPr>
        <w:t>1、平石村合同预付款约定不符合规定，超额拨付资金</w:t>
      </w:r>
      <w:r>
        <w:rPr>
          <w:rFonts w:ascii="仿宋_GB2312" w:eastAsia="仿宋_GB2312"/>
          <w:sz w:val="28"/>
          <w:szCs w:val="28"/>
        </w:rPr>
        <w:t>229,867.91元</w:t>
      </w:r>
      <w:r>
        <w:rPr>
          <w:rFonts w:hint="eastAsia" w:ascii="仿宋_GB2312" w:eastAsia="仿宋_GB2312"/>
          <w:sz w:val="28"/>
          <w:szCs w:val="28"/>
        </w:rPr>
        <w:t>。平石村与</w:t>
      </w:r>
      <w:r>
        <w:rPr>
          <w:rFonts w:ascii="仿宋_GB2312" w:eastAsia="仿宋_GB2312"/>
          <w:sz w:val="28"/>
          <w:szCs w:val="28"/>
        </w:rPr>
        <w:t>湖北辽鄂建设工程有限公司</w:t>
      </w:r>
      <w:r>
        <w:rPr>
          <w:rFonts w:hint="eastAsia" w:ascii="仿宋_GB2312" w:eastAsia="仿宋_GB2312"/>
          <w:sz w:val="28"/>
          <w:szCs w:val="28"/>
        </w:rPr>
        <w:t>签订的《施工合同》约定：</w:t>
      </w:r>
      <w:r>
        <w:rPr>
          <w:rFonts w:ascii="仿宋_GB2312" w:eastAsia="仿宋_GB2312"/>
          <w:sz w:val="28"/>
          <w:szCs w:val="28"/>
        </w:rPr>
        <w:t>合同约定预付730,000.00元</w:t>
      </w:r>
      <w:r>
        <w:rPr>
          <w:rFonts w:hint="eastAsia" w:ascii="仿宋_GB2312" w:eastAsia="仿宋_GB2312"/>
          <w:sz w:val="28"/>
          <w:szCs w:val="28"/>
        </w:rPr>
        <w:t>。而该</w:t>
      </w:r>
      <w:r>
        <w:rPr>
          <w:rFonts w:ascii="仿宋_GB2312" w:eastAsia="仿宋_GB2312"/>
          <w:sz w:val="28"/>
          <w:szCs w:val="28"/>
        </w:rPr>
        <w:t>合同金额为1,667,106.96元，</w:t>
      </w:r>
      <w:r>
        <w:rPr>
          <w:rFonts w:hint="eastAsia" w:ascii="仿宋_GB2312" w:eastAsia="仿宋_GB2312"/>
          <w:sz w:val="28"/>
          <w:szCs w:val="28"/>
        </w:rPr>
        <w:t>按</w:t>
      </w:r>
      <w:r>
        <w:rPr>
          <w:rFonts w:ascii="仿宋_GB2312" w:eastAsia="仿宋_GB2312"/>
          <w:sz w:val="28"/>
          <w:szCs w:val="28"/>
        </w:rPr>
        <w:t>政策</w:t>
      </w:r>
      <w:r>
        <w:rPr>
          <w:rFonts w:hint="eastAsia" w:ascii="仿宋_GB2312" w:eastAsia="仿宋_GB2312"/>
          <w:sz w:val="28"/>
          <w:szCs w:val="28"/>
        </w:rPr>
        <w:t>预付款</w:t>
      </w:r>
      <w:r>
        <w:rPr>
          <w:rFonts w:ascii="仿宋_GB2312" w:eastAsia="仿宋_GB2312"/>
          <w:sz w:val="28"/>
          <w:szCs w:val="28"/>
        </w:rPr>
        <w:t>30%</w:t>
      </w:r>
      <w:r>
        <w:rPr>
          <w:rFonts w:hint="eastAsia" w:ascii="仿宋_GB2312" w:eastAsia="仿宋_GB2312"/>
          <w:sz w:val="28"/>
          <w:szCs w:val="28"/>
        </w:rPr>
        <w:t>的</w:t>
      </w:r>
      <w:r>
        <w:rPr>
          <w:rFonts w:ascii="仿宋_GB2312" w:eastAsia="仿宋_GB2312"/>
          <w:sz w:val="28"/>
          <w:szCs w:val="28"/>
        </w:rPr>
        <w:t>上限</w:t>
      </w:r>
      <w:r>
        <w:rPr>
          <w:rFonts w:hint="eastAsia" w:ascii="仿宋_GB2312" w:eastAsia="仿宋_GB2312"/>
          <w:sz w:val="28"/>
          <w:szCs w:val="28"/>
        </w:rPr>
        <w:t>计算</w:t>
      </w:r>
      <w:r>
        <w:rPr>
          <w:rFonts w:ascii="仿宋_GB2312" w:eastAsia="仿宋_GB2312"/>
          <w:sz w:val="28"/>
          <w:szCs w:val="28"/>
        </w:rPr>
        <w:t>，只能预付500,132.09元。</w:t>
      </w:r>
      <w:r>
        <w:rPr>
          <w:rFonts w:hint="eastAsia" w:ascii="仿宋_GB2312" w:eastAsia="仿宋_GB2312"/>
          <w:sz w:val="28"/>
          <w:szCs w:val="28"/>
        </w:rPr>
        <w:t>预付款超过</w:t>
      </w:r>
      <w:r>
        <w:rPr>
          <w:rFonts w:ascii="仿宋_GB2312" w:eastAsia="仿宋_GB2312"/>
          <w:sz w:val="28"/>
          <w:szCs w:val="28"/>
        </w:rPr>
        <w:t>229,867.91元</w:t>
      </w:r>
      <w:r>
        <w:rPr>
          <w:rFonts w:hint="eastAsia" w:ascii="仿宋_GB2312" w:eastAsia="仿宋_GB2312"/>
          <w:sz w:val="28"/>
          <w:szCs w:val="28"/>
        </w:rPr>
        <w:t>。</w:t>
      </w:r>
    </w:p>
    <w:p>
      <w:pPr>
        <w:spacing w:line="300" w:lineRule="auto"/>
        <w:ind w:firstLine="537" w:firstLineChars="192"/>
        <w:jc w:val="both"/>
        <w:rPr>
          <w:rFonts w:hint="eastAsia" w:ascii="仿宋_GB2312" w:eastAsia="仿宋_GB2312"/>
          <w:sz w:val="28"/>
          <w:szCs w:val="28"/>
        </w:rPr>
      </w:pPr>
      <w:r>
        <w:rPr>
          <w:rFonts w:hint="eastAsia" w:ascii="仿宋_GB2312" w:eastAsia="仿宋_GB2312"/>
          <w:sz w:val="28"/>
          <w:szCs w:val="28"/>
        </w:rPr>
        <w:t>2、团山村支付第一笔进度款</w:t>
      </w:r>
      <w:r>
        <w:rPr>
          <w:rFonts w:ascii="仿宋_GB2312" w:eastAsia="仿宋_GB2312"/>
          <w:sz w:val="28"/>
          <w:szCs w:val="28"/>
        </w:rPr>
        <w:t>170,000</w:t>
      </w:r>
      <w:r>
        <w:rPr>
          <w:rFonts w:hint="eastAsia" w:ascii="仿宋_GB2312" w:eastAsia="仿宋_GB2312"/>
          <w:sz w:val="28"/>
          <w:szCs w:val="28"/>
        </w:rPr>
        <w:t>.00</w:t>
      </w:r>
      <w:r>
        <w:rPr>
          <w:rFonts w:ascii="仿宋_GB2312" w:eastAsia="仿宋_GB2312"/>
          <w:sz w:val="28"/>
          <w:szCs w:val="28"/>
        </w:rPr>
        <w:t>元</w:t>
      </w:r>
      <w:r>
        <w:rPr>
          <w:rFonts w:hint="eastAsia" w:ascii="仿宋_GB2312" w:eastAsia="仿宋_GB2312"/>
          <w:sz w:val="28"/>
          <w:szCs w:val="28"/>
        </w:rPr>
        <w:t>，未见完工进度证明。团山村与湖北仁全建筑工程有限公司签订合同约定：乙方进场开工后，甲方在4月30日前根据乙方施工进度支付合同价款50%的进度款。经查：拨付170,000.00元进度款时，未付拨款依据“完工进度”证明。</w:t>
      </w:r>
    </w:p>
    <w:p>
      <w:pPr>
        <w:spacing w:line="300" w:lineRule="auto"/>
        <w:ind w:firstLine="537" w:firstLineChars="192"/>
        <w:jc w:val="both"/>
        <w:rPr>
          <w:rFonts w:hint="default" w:ascii="仿宋_GB2312" w:eastAsia="仿宋_GB2312"/>
          <w:sz w:val="28"/>
          <w:szCs w:val="28"/>
          <w:lang w:val="en-US" w:eastAsia="zh-CN"/>
        </w:rPr>
      </w:pPr>
      <w:r>
        <w:rPr>
          <w:rFonts w:hint="eastAsia" w:ascii="仿宋_GB2312" w:eastAsia="仿宋_GB2312"/>
          <w:sz w:val="28"/>
          <w:szCs w:val="28"/>
          <w:lang w:val="en-US" w:eastAsia="zh-CN"/>
        </w:rPr>
        <w:t>3、未提供两村农业生产基地项目的管护合同。在绩效评价过程中，平石村和团山村，均未提供农业生产基地后期的管护协议。</w:t>
      </w:r>
    </w:p>
    <w:p>
      <w:pPr>
        <w:spacing w:line="300" w:lineRule="auto"/>
        <w:ind w:firstLine="540" w:firstLineChars="192"/>
        <w:rPr>
          <w:b/>
          <w:bCs/>
          <w:sz w:val="28"/>
          <w:szCs w:val="28"/>
        </w:rPr>
      </w:pPr>
      <w:r>
        <w:rPr>
          <w:rFonts w:hint="eastAsia"/>
          <w:b/>
          <w:bCs/>
          <w:sz w:val="28"/>
          <w:szCs w:val="28"/>
        </w:rPr>
        <w:t>（三）建议及改进措施</w:t>
      </w:r>
    </w:p>
    <w:p>
      <w:pPr>
        <w:spacing w:line="300" w:lineRule="auto"/>
        <w:ind w:firstLine="560" w:firstLineChars="200"/>
        <w:rPr>
          <w:rFonts w:ascii="仿宋_GB2312" w:eastAsia="仿宋_GB2312"/>
          <w:sz w:val="28"/>
          <w:szCs w:val="28"/>
        </w:rPr>
      </w:pPr>
      <w:r>
        <w:rPr>
          <w:rFonts w:hint="eastAsia" w:ascii="仿宋_GB2312" w:eastAsia="仿宋_GB2312"/>
          <w:sz w:val="28"/>
          <w:szCs w:val="28"/>
        </w:rPr>
        <w:t>1、严格执行政策。签订施工合同时，严格执行国家政策的规定，约定工程预付款、质保金等比例，避免出现超额拨付资金的现象发生。</w:t>
      </w:r>
    </w:p>
    <w:p>
      <w:pPr>
        <w:spacing w:line="300" w:lineRule="auto"/>
        <w:ind w:firstLine="560" w:firstLineChars="200"/>
        <w:rPr>
          <w:rFonts w:hint="eastAsia" w:ascii="仿宋_GB2312" w:eastAsia="仿宋_GB2312"/>
          <w:sz w:val="28"/>
          <w:szCs w:val="28"/>
        </w:rPr>
      </w:pPr>
      <w:r>
        <w:rPr>
          <w:rFonts w:hint="eastAsia" w:ascii="仿宋_GB2312" w:eastAsia="仿宋_GB2312"/>
          <w:sz w:val="28"/>
          <w:szCs w:val="28"/>
        </w:rPr>
        <w:t>2、收齐附件资料。在支付项目资金时，必须收集证明材料，保证附件资料的证明力。</w:t>
      </w:r>
    </w:p>
    <w:p>
      <w:pPr>
        <w:spacing w:line="300" w:lineRule="auto"/>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3、为保证财政衔接资金项目绩效，为平石村和团山村的农业生产发挥长效作用，平石村和团山村要做好项目“管”的后半篇文章，做好项目的管护工作。</w:t>
      </w:r>
      <w:bookmarkEnd w:id="2"/>
    </w:p>
    <w:p>
      <w:pPr>
        <w:spacing w:line="300" w:lineRule="auto"/>
        <w:ind w:firstLine="560" w:firstLineChars="200"/>
        <w:rPr>
          <w:rFonts w:hint="eastAsia" w:ascii="仿宋_GB2312" w:eastAsia="仿宋_GB2312"/>
          <w:sz w:val="28"/>
          <w:szCs w:val="28"/>
          <w:lang w:val="en-US" w:eastAsia="zh-CN"/>
        </w:rPr>
      </w:pPr>
    </w:p>
    <w:p>
      <w:pPr>
        <w:spacing w:line="300" w:lineRule="auto"/>
        <w:ind w:firstLine="560" w:firstLineChars="200"/>
        <w:rPr>
          <w:rFonts w:hint="eastAsia" w:ascii="仿宋_GB2312" w:eastAsia="仿宋_GB2312"/>
          <w:sz w:val="28"/>
          <w:szCs w:val="28"/>
          <w:lang w:val="en-US" w:eastAsia="zh-CN"/>
        </w:rPr>
      </w:pPr>
    </w:p>
    <w:p>
      <w:pPr>
        <w:spacing w:line="300" w:lineRule="auto"/>
        <w:ind w:firstLine="560" w:firstLineChars="200"/>
        <w:rPr>
          <w:rFonts w:hint="eastAsia" w:ascii="仿宋_GB2312" w:eastAsia="仿宋_GB2312"/>
          <w:sz w:val="28"/>
          <w:szCs w:val="28"/>
          <w:lang w:val="en-US" w:eastAsia="zh-CN"/>
        </w:rPr>
      </w:pPr>
    </w:p>
    <w:p>
      <w:pPr>
        <w:spacing w:line="300" w:lineRule="auto"/>
        <w:jc w:val="center"/>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湖北众信会计师事务有限公司</w:t>
      </w:r>
    </w:p>
    <w:p>
      <w:pPr>
        <w:widowControl/>
        <w:spacing w:line="300" w:lineRule="auto"/>
        <w:ind w:firstLine="3360" w:firstLineChars="1200"/>
        <w:jc w:val="left"/>
      </w:pPr>
      <w:r>
        <w:rPr>
          <w:rFonts w:hint="eastAsia" w:ascii="仿宋_GB2312" w:hAnsi="宋体" w:eastAsia="仿宋_GB2312" w:cs="Times New Roman"/>
          <w:sz w:val="28"/>
          <w:szCs w:val="28"/>
          <w:lang w:val="en-US" w:eastAsia="zh-CN"/>
        </w:rPr>
        <w:t>2023年12月31日</w:t>
      </w:r>
    </w:p>
    <w:sectPr>
      <w:headerReference r:id="rId3"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0"/>
      </w:pBdr>
    </w:pPr>
    <w:r>
      <w:rPr>
        <w:rFonts w:hint="eastAsia"/>
        <w:b w:val="0"/>
        <w:bCs/>
        <w:sz w:val="18"/>
        <w:szCs w:val="18"/>
        <w:lang w:val="en-US" w:eastAsia="zh-CN"/>
      </w:rPr>
      <w:t xml:space="preserve">                        </w:t>
    </w:r>
    <w:r>
      <w:rPr>
        <w:rFonts w:hint="eastAsia"/>
        <w:b w:val="0"/>
        <w:bCs/>
        <w:sz w:val="18"/>
        <w:szCs w:val="18"/>
      </w:rPr>
      <w:t>杨叶镇平石村、团山村农业生产基地改造项目</w:t>
    </w:r>
    <w:r>
      <w:rPr>
        <w:rFonts w:hint="eastAsia"/>
        <w:lang w:val="en-US" w:eastAsia="zh-CN"/>
      </w:rPr>
      <w:t>财政</w:t>
    </w:r>
    <w:r>
      <w:rPr>
        <w:rFonts w:hint="eastAsia"/>
      </w:rPr>
      <w:t>衔接资金绩效评价报告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5A0B74"/>
    <w:rsid w:val="00043505"/>
    <w:rsid w:val="000570A6"/>
    <w:rsid w:val="000931F3"/>
    <w:rsid w:val="000C5BE1"/>
    <w:rsid w:val="00100D5F"/>
    <w:rsid w:val="00121573"/>
    <w:rsid w:val="00146108"/>
    <w:rsid w:val="00155446"/>
    <w:rsid w:val="00156B21"/>
    <w:rsid w:val="00182EA3"/>
    <w:rsid w:val="0019475E"/>
    <w:rsid w:val="001A01D0"/>
    <w:rsid w:val="001A3B8D"/>
    <w:rsid w:val="00207177"/>
    <w:rsid w:val="0024709A"/>
    <w:rsid w:val="002513D9"/>
    <w:rsid w:val="00252141"/>
    <w:rsid w:val="00254578"/>
    <w:rsid w:val="00262DAE"/>
    <w:rsid w:val="00290209"/>
    <w:rsid w:val="002A3494"/>
    <w:rsid w:val="002C0CE7"/>
    <w:rsid w:val="002D475E"/>
    <w:rsid w:val="002E5BDC"/>
    <w:rsid w:val="002F227B"/>
    <w:rsid w:val="00302196"/>
    <w:rsid w:val="00363C22"/>
    <w:rsid w:val="003D6770"/>
    <w:rsid w:val="004247B0"/>
    <w:rsid w:val="00452E84"/>
    <w:rsid w:val="004669AE"/>
    <w:rsid w:val="004D58F0"/>
    <w:rsid w:val="004E4BAF"/>
    <w:rsid w:val="005170DA"/>
    <w:rsid w:val="005357F2"/>
    <w:rsid w:val="00551E8E"/>
    <w:rsid w:val="005969D2"/>
    <w:rsid w:val="005A0B74"/>
    <w:rsid w:val="005A4C8B"/>
    <w:rsid w:val="005B26BE"/>
    <w:rsid w:val="00621B87"/>
    <w:rsid w:val="00656A16"/>
    <w:rsid w:val="00675BAE"/>
    <w:rsid w:val="00683BA5"/>
    <w:rsid w:val="006A0681"/>
    <w:rsid w:val="006C6B1E"/>
    <w:rsid w:val="007110A6"/>
    <w:rsid w:val="00764CFD"/>
    <w:rsid w:val="00783BDF"/>
    <w:rsid w:val="007D5F55"/>
    <w:rsid w:val="007E5D38"/>
    <w:rsid w:val="00803E1E"/>
    <w:rsid w:val="0085024E"/>
    <w:rsid w:val="00851FDD"/>
    <w:rsid w:val="00857272"/>
    <w:rsid w:val="008769A2"/>
    <w:rsid w:val="00886E08"/>
    <w:rsid w:val="009027B8"/>
    <w:rsid w:val="009071B1"/>
    <w:rsid w:val="00937688"/>
    <w:rsid w:val="009A7076"/>
    <w:rsid w:val="009A7A75"/>
    <w:rsid w:val="009C4A33"/>
    <w:rsid w:val="00A15D74"/>
    <w:rsid w:val="00A22EB8"/>
    <w:rsid w:val="00A41B7E"/>
    <w:rsid w:val="00A50F00"/>
    <w:rsid w:val="00A76733"/>
    <w:rsid w:val="00A80EE0"/>
    <w:rsid w:val="00A847E3"/>
    <w:rsid w:val="00AC3327"/>
    <w:rsid w:val="00B212B2"/>
    <w:rsid w:val="00B32D9E"/>
    <w:rsid w:val="00BA1BA4"/>
    <w:rsid w:val="00BA67B1"/>
    <w:rsid w:val="00BD223C"/>
    <w:rsid w:val="00BD3879"/>
    <w:rsid w:val="00C20790"/>
    <w:rsid w:val="00C24CB3"/>
    <w:rsid w:val="00C303C5"/>
    <w:rsid w:val="00C40FAE"/>
    <w:rsid w:val="00C43DD1"/>
    <w:rsid w:val="00CA03D9"/>
    <w:rsid w:val="00CA5EA6"/>
    <w:rsid w:val="00CC4D52"/>
    <w:rsid w:val="00CD72CA"/>
    <w:rsid w:val="00D1602C"/>
    <w:rsid w:val="00D24D90"/>
    <w:rsid w:val="00D42C7D"/>
    <w:rsid w:val="00D57A91"/>
    <w:rsid w:val="00D77892"/>
    <w:rsid w:val="00D81542"/>
    <w:rsid w:val="00D864C1"/>
    <w:rsid w:val="00D903F1"/>
    <w:rsid w:val="00DB54FB"/>
    <w:rsid w:val="00DC69DC"/>
    <w:rsid w:val="00DF3B6C"/>
    <w:rsid w:val="00E23499"/>
    <w:rsid w:val="00E408A3"/>
    <w:rsid w:val="00E422BF"/>
    <w:rsid w:val="00E54672"/>
    <w:rsid w:val="00E66F2B"/>
    <w:rsid w:val="00E75A16"/>
    <w:rsid w:val="00E859BC"/>
    <w:rsid w:val="00EE5900"/>
    <w:rsid w:val="00F464A8"/>
    <w:rsid w:val="00F872BD"/>
    <w:rsid w:val="00F9558B"/>
    <w:rsid w:val="00FD1DCC"/>
    <w:rsid w:val="15366018"/>
    <w:rsid w:val="164027ED"/>
    <w:rsid w:val="17721089"/>
    <w:rsid w:val="24360E77"/>
    <w:rsid w:val="2801435B"/>
    <w:rsid w:val="33B227F9"/>
    <w:rsid w:val="35A973C7"/>
    <w:rsid w:val="3AF75026"/>
    <w:rsid w:val="3B26563D"/>
    <w:rsid w:val="49EA5E4A"/>
    <w:rsid w:val="4A530072"/>
    <w:rsid w:val="5ADE0A23"/>
    <w:rsid w:val="6F856331"/>
    <w:rsid w:val="708459B4"/>
    <w:rsid w:val="71491776"/>
    <w:rsid w:val="792C1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宋体" w:hAnsi="宋体" w:eastAsia="宋体" w:cs="宋体"/>
      <w:sz w:val="24"/>
      <w:szCs w:val="24"/>
      <w:lang w:val="en-US" w:eastAsia="zh-CN" w:bidi="ar-SA"/>
      <w14:ligatures w14:val="standardContextual"/>
    </w:rPr>
  </w:style>
  <w:style w:type="paragraph" w:styleId="3">
    <w:name w:val="heading 1"/>
    <w:basedOn w:val="1"/>
    <w:next w:val="1"/>
    <w:link w:val="10"/>
    <w:autoRedefine/>
    <w:qFormat/>
    <w:uiPriority w:val="0"/>
    <w:pPr>
      <w:keepNext/>
      <w:keepLines/>
      <w:spacing w:before="340" w:after="330" w:line="576" w:lineRule="auto"/>
      <w:outlineLvl w:val="0"/>
    </w:pPr>
    <w:rPr>
      <w:rFonts w:ascii="Calibri" w:hAnsi="Calibri"/>
      <w:b/>
      <w:bCs/>
      <w:kern w:val="44"/>
      <w:sz w:val="44"/>
      <w:szCs w:val="44"/>
    </w:rPr>
  </w:style>
  <w:style w:type="paragraph" w:styleId="4">
    <w:name w:val="heading 2"/>
    <w:basedOn w:val="1"/>
    <w:next w:val="1"/>
    <w:link w:val="1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autoRedefine/>
    <w:semiHidden/>
    <w:unhideWhenUsed/>
    <w:qFormat/>
    <w:uiPriority w:val="1"/>
  </w:style>
  <w:style w:type="table" w:default="1" w:styleId="7">
    <w:name w:val="Normal Table"/>
    <w:autoRedefine/>
    <w:semiHidden/>
    <w:unhideWhenUsed/>
    <w:uiPriority w:val="99"/>
    <w:tblPr>
      <w:tblCellMar>
        <w:top w:w="0" w:type="dxa"/>
        <w:left w:w="108" w:type="dxa"/>
        <w:bottom w:w="0" w:type="dxa"/>
        <w:right w:w="108" w:type="dxa"/>
      </w:tblCellMar>
    </w:tblPr>
  </w:style>
  <w:style w:type="paragraph" w:styleId="2">
    <w:name w:val="Title"/>
    <w:basedOn w:val="1"/>
    <w:next w:val="1"/>
    <w:link w:val="9"/>
    <w:autoRedefine/>
    <w:qFormat/>
    <w:uiPriority w:val="0"/>
    <w:pPr>
      <w:spacing w:before="240" w:after="60"/>
      <w:jc w:val="center"/>
      <w:outlineLvl w:val="0"/>
    </w:pPr>
    <w:rPr>
      <w:rFonts w:asciiTheme="majorHAnsi" w:hAnsiTheme="majorHAnsi" w:eastAsiaTheme="majorEastAsia" w:cstheme="majorBidi"/>
      <w:b/>
      <w:bCs/>
      <w:sz w:val="32"/>
      <w:szCs w:val="32"/>
    </w:rPr>
  </w:style>
  <w:style w:type="paragraph" w:styleId="5">
    <w:name w:val="footer"/>
    <w:basedOn w:val="1"/>
    <w:link w:val="13"/>
    <w:autoRedefine/>
    <w:unhideWhenUsed/>
    <w:qFormat/>
    <w:uiPriority w:val="99"/>
    <w:pPr>
      <w:tabs>
        <w:tab w:val="center" w:pos="4153"/>
        <w:tab w:val="right" w:pos="8306"/>
      </w:tabs>
      <w:snapToGrid w:val="0"/>
    </w:pPr>
    <w:rPr>
      <w:sz w:val="18"/>
      <w:szCs w:val="18"/>
    </w:rPr>
  </w:style>
  <w:style w:type="paragraph" w:styleId="6">
    <w:name w:val="header"/>
    <w:basedOn w:val="1"/>
    <w:link w:val="12"/>
    <w:autoRedefine/>
    <w:unhideWhenUsed/>
    <w:qFormat/>
    <w:uiPriority w:val="99"/>
    <w:pPr>
      <w:tabs>
        <w:tab w:val="center" w:pos="4153"/>
        <w:tab w:val="right" w:pos="8306"/>
      </w:tabs>
      <w:snapToGrid w:val="0"/>
      <w:jc w:val="center"/>
    </w:pPr>
    <w:rPr>
      <w:sz w:val="18"/>
      <w:szCs w:val="18"/>
    </w:rPr>
  </w:style>
  <w:style w:type="character" w:customStyle="1" w:styleId="9">
    <w:name w:val="标题 字符"/>
    <w:basedOn w:val="8"/>
    <w:link w:val="2"/>
    <w:autoRedefine/>
    <w:qFormat/>
    <w:uiPriority w:val="10"/>
    <w:rPr>
      <w:rFonts w:asciiTheme="majorHAnsi" w:hAnsiTheme="majorHAnsi" w:eastAsiaTheme="majorEastAsia" w:cstheme="majorBidi"/>
      <w:b/>
      <w:bCs/>
      <w:sz w:val="32"/>
      <w:szCs w:val="32"/>
      <w14:ligatures w14:val="none"/>
    </w:rPr>
  </w:style>
  <w:style w:type="character" w:customStyle="1" w:styleId="10">
    <w:name w:val="标题 1 字符"/>
    <w:basedOn w:val="8"/>
    <w:link w:val="3"/>
    <w:autoRedefine/>
    <w:qFormat/>
    <w:uiPriority w:val="0"/>
    <w:rPr>
      <w:rFonts w:ascii="Calibri" w:hAnsi="Calibri" w:eastAsia="宋体" w:cs="Times New Roman"/>
      <w:b/>
      <w:bCs/>
      <w:kern w:val="44"/>
      <w:sz w:val="44"/>
      <w:szCs w:val="44"/>
      <w14:ligatures w14:val="none"/>
    </w:rPr>
  </w:style>
  <w:style w:type="character" w:customStyle="1" w:styleId="11">
    <w:name w:val="标题 2 字符"/>
    <w:basedOn w:val="8"/>
    <w:link w:val="4"/>
    <w:autoRedefine/>
    <w:semiHidden/>
    <w:qFormat/>
    <w:uiPriority w:val="9"/>
    <w:rPr>
      <w:rFonts w:asciiTheme="majorHAnsi" w:hAnsiTheme="majorHAnsi" w:eastAsiaTheme="majorEastAsia" w:cstheme="majorBidi"/>
      <w:b/>
      <w:bCs/>
      <w:sz w:val="32"/>
      <w:szCs w:val="32"/>
      <w14:ligatures w14:val="none"/>
    </w:rPr>
  </w:style>
  <w:style w:type="character" w:customStyle="1" w:styleId="12">
    <w:name w:val="页眉 字符"/>
    <w:basedOn w:val="8"/>
    <w:link w:val="6"/>
    <w:autoRedefine/>
    <w:qFormat/>
    <w:uiPriority w:val="99"/>
    <w:rPr>
      <w:rFonts w:ascii="Times New Roman" w:hAnsi="Times New Roman" w:eastAsia="宋体" w:cs="Times New Roman"/>
      <w:sz w:val="18"/>
      <w:szCs w:val="18"/>
      <w14:ligatures w14:val="none"/>
    </w:rPr>
  </w:style>
  <w:style w:type="character" w:customStyle="1" w:styleId="13">
    <w:name w:val="页脚 字符"/>
    <w:basedOn w:val="8"/>
    <w:link w:val="5"/>
    <w:autoRedefine/>
    <w:qFormat/>
    <w:uiPriority w:val="99"/>
    <w:rPr>
      <w:rFonts w:ascii="Times New Roman" w:hAnsi="Times New Roman" w:eastAsia="宋体" w:cs="Times New Roman"/>
      <w:sz w:val="18"/>
      <w:szCs w:val="18"/>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3036</Words>
  <Characters>17308</Characters>
  <Lines>144</Lines>
  <Paragraphs>40</Paragraphs>
  <TotalTime>0</TotalTime>
  <ScaleCrop>false</ScaleCrop>
  <LinksUpToDate>false</LinksUpToDate>
  <CharactersWithSpaces>20304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2023-11-30T02:07:00Z</dcterms:created>
  <dc:creator>子依 肖</dc:creator>
  <cp:lastModifiedBy>Ou</cp:lastModifiedBy>
  <dcterms:modified xsi:type="dcterms:W3CDTF">2024-04-17T02:52:50Z</dcterms:modified>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2B167A6F39674B2BA45CFADAD9F533F0_13</vt:lpwstr>
  </property>
</Properties>
</file>