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ascii="宋体" w:hAnsi="宋体"/>
          <w:color w:val="auto"/>
          <w:sz w:val="52"/>
          <w:szCs w:val="52"/>
          <w:highlight w:val="none"/>
        </w:rPr>
      </w:pPr>
      <w:r>
        <w:rPr>
          <w:rFonts w:hint="eastAsia" w:ascii="宋体" w:hAnsi="宋体"/>
          <w:color w:val="auto"/>
          <w:sz w:val="52"/>
          <w:szCs w:val="52"/>
          <w:highlight w:val="none"/>
        </w:rPr>
        <w:t>临空经济区</w:t>
      </w:r>
      <w:r>
        <w:rPr>
          <w:rFonts w:hint="eastAsia" w:ascii="宋体" w:hAnsi="宋体"/>
          <w:color w:val="auto"/>
          <w:sz w:val="52"/>
          <w:szCs w:val="52"/>
          <w:highlight w:val="none"/>
          <w:lang w:val="en-US" w:eastAsia="zh-CN"/>
        </w:rPr>
        <w:t>财政</w:t>
      </w:r>
      <w:r>
        <w:rPr>
          <w:rFonts w:hint="eastAsia" w:ascii="宋体" w:hAnsi="宋体"/>
          <w:color w:val="auto"/>
          <w:sz w:val="52"/>
          <w:szCs w:val="52"/>
          <w:highlight w:val="none"/>
        </w:rPr>
        <w:t>衔接资金项目</w:t>
      </w:r>
    </w:p>
    <w:p>
      <w:pPr>
        <w:spacing w:line="300" w:lineRule="auto"/>
        <w:jc w:val="center"/>
        <w:rPr>
          <w:rFonts w:ascii="黑体" w:hAnsi="黑体" w:eastAsia="黑体"/>
          <w:b/>
          <w:color w:val="auto"/>
          <w:sz w:val="72"/>
          <w:szCs w:val="72"/>
          <w:highlight w:val="none"/>
        </w:rPr>
      </w:pPr>
      <w:r>
        <w:rPr>
          <w:rFonts w:hint="eastAsia" w:ascii="黑体" w:hAnsi="黑体" w:eastAsia="黑体"/>
          <w:b/>
          <w:color w:val="auto"/>
          <w:sz w:val="72"/>
          <w:szCs w:val="72"/>
          <w:highlight w:val="none"/>
        </w:rPr>
        <w:t>绩效评价报告</w:t>
      </w:r>
    </w:p>
    <w:p>
      <w:pPr>
        <w:tabs>
          <w:tab w:val="left" w:pos="615"/>
        </w:tabs>
        <w:spacing w:line="300" w:lineRule="auto"/>
        <w:jc w:val="center"/>
        <w:rPr>
          <w:rFonts w:hint="eastAsia" w:eastAsia="宋体"/>
          <w:color w:val="auto"/>
          <w:sz w:val="36"/>
          <w:szCs w:val="44"/>
          <w:highlight w:val="none"/>
          <w:lang w:eastAsia="zh-CN"/>
        </w:rPr>
      </w:pPr>
      <w:r>
        <w:rPr>
          <w:rFonts w:hint="eastAsia"/>
          <w:color w:val="auto"/>
          <w:sz w:val="36"/>
          <w:szCs w:val="44"/>
          <w:highlight w:val="none"/>
          <w:lang w:eastAsia="zh-CN"/>
        </w:rPr>
        <w:t>（</w:t>
      </w:r>
      <w:r>
        <w:rPr>
          <w:rFonts w:hint="eastAsia"/>
          <w:color w:val="auto"/>
          <w:sz w:val="36"/>
          <w:szCs w:val="44"/>
          <w:highlight w:val="none"/>
          <w:lang w:val="en-US" w:eastAsia="zh-CN"/>
        </w:rPr>
        <w:t>精简</w:t>
      </w:r>
      <w:r>
        <w:rPr>
          <w:rFonts w:hint="eastAsia"/>
          <w:color w:val="auto"/>
          <w:sz w:val="36"/>
          <w:szCs w:val="44"/>
          <w:highlight w:val="none"/>
          <w:lang w:eastAsia="zh-CN"/>
        </w:rPr>
        <w:t>版）</w:t>
      </w: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rPr>
          <w:color w:val="auto"/>
          <w:highlight w:val="none"/>
        </w:rPr>
      </w:pPr>
    </w:p>
    <w:p>
      <w:pPr>
        <w:tabs>
          <w:tab w:val="left" w:pos="615"/>
        </w:tabs>
        <w:spacing w:line="300" w:lineRule="auto"/>
        <w:ind w:left="838" w:leftChars="399"/>
        <w:rPr>
          <w:b/>
          <w:color w:val="auto"/>
          <w:sz w:val="28"/>
          <w:szCs w:val="28"/>
          <w:highlight w:val="none"/>
        </w:rPr>
      </w:pPr>
      <w:r>
        <w:rPr>
          <w:rFonts w:hint="eastAsia"/>
          <w:b/>
          <w:color w:val="auto"/>
          <w:sz w:val="28"/>
          <w:szCs w:val="28"/>
          <w:highlight w:val="none"/>
        </w:rPr>
        <w:t>项目名称：中沟套高标准蔬菜瓜果种植基地（第二期）项目</w:t>
      </w:r>
    </w:p>
    <w:p>
      <w:pPr>
        <w:tabs>
          <w:tab w:val="left" w:pos="615"/>
        </w:tabs>
        <w:spacing w:line="300" w:lineRule="auto"/>
        <w:ind w:left="838" w:leftChars="399"/>
        <w:rPr>
          <w:b/>
          <w:color w:val="auto"/>
          <w:sz w:val="28"/>
          <w:szCs w:val="28"/>
          <w:highlight w:val="none"/>
        </w:rPr>
      </w:pPr>
      <w:r>
        <w:rPr>
          <w:rFonts w:hint="eastAsia"/>
          <w:b/>
          <w:color w:val="auto"/>
          <w:sz w:val="28"/>
          <w:szCs w:val="28"/>
          <w:highlight w:val="none"/>
          <w:lang w:val="en-US" w:eastAsia="zh-CN"/>
        </w:rPr>
        <w:t>项目</w:t>
      </w:r>
      <w:r>
        <w:rPr>
          <w:rFonts w:hint="eastAsia"/>
          <w:b/>
          <w:color w:val="auto"/>
          <w:sz w:val="28"/>
          <w:szCs w:val="28"/>
          <w:highlight w:val="none"/>
        </w:rPr>
        <w:t>单位：鄂州市临空经济区杨叶镇杨叶村</w:t>
      </w:r>
    </w:p>
    <w:p>
      <w:pPr>
        <w:tabs>
          <w:tab w:val="left" w:pos="615"/>
        </w:tabs>
        <w:spacing w:line="300" w:lineRule="auto"/>
        <w:ind w:firstLine="843" w:firstLineChars="300"/>
        <w:rPr>
          <w:b/>
          <w:color w:val="auto"/>
          <w:sz w:val="28"/>
          <w:szCs w:val="28"/>
          <w:highlight w:val="none"/>
        </w:rPr>
      </w:pPr>
      <w:r>
        <w:rPr>
          <w:rFonts w:hint="eastAsia"/>
          <w:b/>
          <w:color w:val="auto"/>
          <w:sz w:val="28"/>
          <w:szCs w:val="28"/>
          <w:highlight w:val="none"/>
        </w:rPr>
        <w:t>主管部门：鄂州市临空经济区杨叶镇</w:t>
      </w:r>
    </w:p>
    <w:p>
      <w:pPr>
        <w:tabs>
          <w:tab w:val="left" w:pos="615"/>
        </w:tabs>
        <w:spacing w:line="300" w:lineRule="auto"/>
        <w:ind w:firstLine="843" w:firstLineChars="300"/>
        <w:rPr>
          <w:b/>
          <w:color w:val="auto"/>
          <w:sz w:val="28"/>
          <w:szCs w:val="28"/>
          <w:highlight w:val="none"/>
        </w:rPr>
      </w:pPr>
      <w:r>
        <w:rPr>
          <w:rFonts w:hint="eastAsia"/>
          <w:b/>
          <w:color w:val="auto"/>
          <w:sz w:val="28"/>
          <w:szCs w:val="28"/>
          <w:highlight w:val="none"/>
        </w:rPr>
        <w:t>评价机构：湖北众信会计师事务有限公司</w:t>
      </w:r>
    </w:p>
    <w:p>
      <w:pPr>
        <w:spacing w:line="300" w:lineRule="auto"/>
        <w:ind w:firstLine="843" w:firstLineChars="300"/>
        <w:rPr>
          <w:b/>
          <w:color w:val="auto"/>
          <w:sz w:val="28"/>
          <w:szCs w:val="28"/>
          <w:highlight w:val="none"/>
        </w:rPr>
      </w:pPr>
      <w:r>
        <w:rPr>
          <w:rFonts w:hint="eastAsia"/>
          <w:b/>
          <w:color w:val="auto"/>
          <w:sz w:val="28"/>
          <w:szCs w:val="28"/>
          <w:highlight w:val="none"/>
        </w:rPr>
        <w:t>报告文号：湖众信绩评字[2024]005号</w:t>
      </w:r>
    </w:p>
    <w:p>
      <w:pPr>
        <w:widowControl/>
        <w:spacing w:line="300" w:lineRule="auto"/>
        <w:ind w:firstLine="551" w:firstLineChars="196"/>
        <w:jc w:val="left"/>
        <w:rPr>
          <w:rFonts w:ascii="宋体" w:hAnsi="宋体" w:cs="宋体"/>
          <w:b/>
          <w:bCs/>
          <w:color w:val="auto"/>
          <w:kern w:val="0"/>
          <w:sz w:val="28"/>
          <w:szCs w:val="28"/>
          <w:highlight w:val="none"/>
        </w:rPr>
      </w:pPr>
    </w:p>
    <w:p>
      <w:pPr>
        <w:tabs>
          <w:tab w:val="left" w:pos="615"/>
        </w:tabs>
        <w:spacing w:line="300" w:lineRule="auto"/>
        <w:ind w:firstLine="703" w:firstLineChars="250"/>
        <w:rPr>
          <w:b/>
          <w:color w:val="auto"/>
          <w:sz w:val="28"/>
          <w:szCs w:val="28"/>
          <w:highlight w:val="none"/>
        </w:rPr>
      </w:pPr>
    </w:p>
    <w:p>
      <w:pPr>
        <w:tabs>
          <w:tab w:val="left" w:pos="615"/>
        </w:tabs>
        <w:spacing w:line="300" w:lineRule="auto"/>
        <w:jc w:val="left"/>
        <w:rPr>
          <w:color w:val="auto"/>
          <w:sz w:val="24"/>
          <w:highlight w:val="none"/>
        </w:rPr>
      </w:pPr>
    </w:p>
    <w:p>
      <w:pPr>
        <w:tabs>
          <w:tab w:val="left" w:pos="615"/>
        </w:tabs>
        <w:spacing w:line="300" w:lineRule="auto"/>
        <w:jc w:val="center"/>
        <w:rPr>
          <w:color w:val="auto"/>
          <w:highlight w:val="none"/>
        </w:rPr>
      </w:pPr>
    </w:p>
    <w:p>
      <w:pPr>
        <w:spacing w:before="156" w:beforeLines="50" w:line="300" w:lineRule="auto"/>
        <w:ind w:firstLine="3092" w:firstLineChars="11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2024年3月</w:t>
      </w:r>
    </w:p>
    <w:p>
      <w:pPr>
        <w:pStyle w:val="2"/>
        <w:rPr>
          <w:rFonts w:hint="eastAsia" w:ascii="宋体" w:hAnsi="宋体" w:eastAsia="宋体" w:cs="宋体"/>
          <w:b/>
          <w:bCs/>
          <w:color w:val="auto"/>
          <w:sz w:val="28"/>
          <w:szCs w:val="28"/>
          <w:highlight w:val="none"/>
        </w:rPr>
      </w:pPr>
    </w:p>
    <w:p>
      <w:pPr>
        <w:rPr>
          <w:rFonts w:hint="eastAsia" w:ascii="宋体" w:hAnsi="宋体" w:eastAsia="宋体" w:cs="宋体"/>
          <w:b/>
          <w:bCs/>
          <w:color w:val="auto"/>
          <w:sz w:val="28"/>
          <w:szCs w:val="28"/>
          <w:highlight w:val="none"/>
        </w:rPr>
      </w:pPr>
    </w:p>
    <w:p>
      <w:pPr>
        <w:pStyle w:val="3"/>
        <w:rPr>
          <w:rFonts w:hint="eastAsia"/>
          <w:color w:val="auto"/>
          <w:highlight w:val="none"/>
        </w:rPr>
        <w:sectPr>
          <w:headerReference r:id="rId4" w:type="first"/>
          <w:headerReference r:id="rId3" w:type="default"/>
          <w:pgSz w:w="11906" w:h="16838"/>
          <w:pgMar w:top="1440" w:right="1800" w:bottom="1440" w:left="1800" w:header="851" w:footer="992" w:gutter="0"/>
          <w:cols w:space="425" w:num="1"/>
          <w:titlePg/>
          <w:docGrid w:type="lines" w:linePitch="312" w:charSpace="0"/>
        </w:sectPr>
      </w:pPr>
      <w:bookmarkStart w:id="0" w:name="_Toc163851776"/>
    </w:p>
    <w:p>
      <w:pPr>
        <w:pStyle w:val="3"/>
        <w:rPr>
          <w:color w:val="auto"/>
          <w:highlight w:val="none"/>
        </w:rPr>
      </w:pPr>
      <w:r>
        <w:rPr>
          <w:rFonts w:hint="eastAsia"/>
          <w:color w:val="auto"/>
          <w:highlight w:val="none"/>
        </w:rPr>
        <w:t>说</w:t>
      </w:r>
      <w:r>
        <w:rPr>
          <w:rFonts w:hint="eastAsia"/>
          <w:color w:val="auto"/>
          <w:highlight w:val="none"/>
          <w:lang w:val="en-US" w:eastAsia="zh-CN"/>
        </w:rPr>
        <w:t xml:space="preserve"> </w:t>
      </w:r>
      <w:r>
        <w:rPr>
          <w:rFonts w:hint="eastAsia"/>
          <w:color w:val="auto"/>
          <w:highlight w:val="none"/>
        </w:rPr>
        <w:t>明</w:t>
      </w:r>
      <w:bookmarkEnd w:id="0"/>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鄂州市临空经济区财政金融局（以下简称财金局）委托，湖北众信会计师事务有限公司对杨叶村中沟套高标准蔬菜瓜果种植基地（第二期）项目财政衔接资金使用情况进行了绩效评价。通过此次评价，全面了解杨叶村中沟套高标准蔬菜瓜果种植基地（第二期）项目财政衔接资金拨付、使用情况以及取得的综合绩效，同时通过对项目资金绩效评价，总结经验、发现问题、提出改进建议，保证杨叶村中沟套高标准蔬菜瓜果种植基地（第二期）项目财政衔接资金使用管理的规范性、安全性和有效性。</w:t>
      </w:r>
    </w:p>
    <w:p>
      <w:pPr>
        <w:spacing w:line="300" w:lineRule="auto"/>
        <w:ind w:firstLine="560" w:firstLineChars="200"/>
        <w:rPr>
          <w:rFonts w:ascii="ˎ̥" w:hAnsi="ˎ̥"/>
          <w:b/>
          <w:color w:val="auto"/>
          <w:sz w:val="36"/>
          <w:szCs w:val="36"/>
          <w:highlight w:val="none"/>
        </w:rPr>
      </w:pPr>
      <w:r>
        <w:rPr>
          <w:rFonts w:hint="eastAsia" w:ascii="仿宋_GB2312" w:hAnsi="宋体" w:eastAsia="仿宋_GB2312"/>
          <w:color w:val="auto"/>
          <w:sz w:val="28"/>
          <w:szCs w:val="28"/>
          <w:highlight w:val="none"/>
        </w:rPr>
        <w:t>本次评价依照财政部《项目支出绩效评价管理办法》（财预[2020]10号文件）、湖北省财政厅关于印发《全面实施预算绩效管理系列制度的通知》（鄂财绩发[2020]3号文件）、临空经济区党工委农村工作领导小组办公室关于印发《2023年度巩固拓展脱贫攻坚成果同乡村振兴有效衔接项目库的批复的通知》(临空农组办发[2023]1号)、中共中央和国务院《关于实现巩固拓展脱贫攻坚成果同乡村振兴有效衔接的意见》、财政部《关于印发中央财政衔接推进乡村振兴补助资金管理办法的通知》（财农〔2021〕19号）、《湖北省乡村振兴促进条例》、《湖北省财政衔接推进乡村振兴补助资金管理办法》（鄂财农发〔2021〕25号）、《湖北省衔接资金项 目管理“一本通”》等文件和政策的规定和要求，按时完成了“杨叶村中沟套高标准蔬菜瓜果种植基地（第二期）项目”绩效评价工作，并形成本绩效评价报告。</w:t>
      </w:r>
    </w:p>
    <w:p>
      <w:pPr>
        <w:pStyle w:val="3"/>
        <w:ind w:firstLine="3600" w:firstLineChars="1000"/>
        <w:rPr>
          <w:rFonts w:hint="eastAsia"/>
          <w:color w:val="auto"/>
          <w:sz w:val="36"/>
          <w:szCs w:val="36"/>
          <w:highlight w:val="none"/>
        </w:rPr>
      </w:pPr>
      <w:bookmarkStart w:id="1" w:name="_Toc163851777"/>
      <w:r>
        <w:rPr>
          <w:rFonts w:hint="eastAsia"/>
          <w:color w:val="auto"/>
          <w:sz w:val="36"/>
          <w:szCs w:val="36"/>
          <w:highlight w:val="none"/>
        </w:rPr>
        <w:t>报告摘要</w:t>
      </w:r>
      <w:bookmarkEnd w:id="1"/>
    </w:p>
    <w:p>
      <w:pPr>
        <w:spacing w:line="300" w:lineRule="auto"/>
        <w:ind w:firstLine="560" w:firstLineChars="200"/>
        <w:rPr>
          <w:rFonts w:hint="eastAsia" w:ascii="仿宋_GB2312" w:hAnsi="宋体" w:eastAsia="仿宋_GB2312"/>
          <w:sz w:val="28"/>
          <w:szCs w:val="28"/>
          <w:highlight w:val="none"/>
        </w:rPr>
      </w:pPr>
    </w:p>
    <w:p>
      <w:pPr>
        <w:widowControl/>
        <w:spacing w:line="300" w:lineRule="auto"/>
        <w:ind w:firstLine="562" w:firstLineChars="200"/>
        <w:jc w:val="left"/>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一、项目基本情况</w:t>
      </w:r>
    </w:p>
    <w:p>
      <w:pPr>
        <w:widowControl/>
        <w:spacing w:line="300" w:lineRule="auto"/>
        <w:ind w:firstLine="551" w:firstLineChars="196"/>
        <w:jc w:val="left"/>
        <w:rPr>
          <w:rFonts w:ascii="宋体" w:hAnsi="宋体" w:cs="宋体"/>
          <w:b/>
          <w:bCs/>
          <w:color w:val="auto"/>
          <w:kern w:val="0"/>
          <w:sz w:val="28"/>
          <w:szCs w:val="28"/>
          <w:highlight w:val="none"/>
        </w:rPr>
      </w:pPr>
      <w:r>
        <w:rPr>
          <w:rFonts w:hint="eastAsia" w:ascii="宋体" w:hAnsi="宋体" w:eastAsia="宋体" w:cs="宋体"/>
          <w:b/>
          <w:bCs/>
          <w:color w:val="auto"/>
          <w:kern w:val="0"/>
          <w:sz w:val="28"/>
          <w:szCs w:val="28"/>
          <w:highlight w:val="none"/>
        </w:rPr>
        <w:t>（一）项目立项及批复情况</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2020年全国脱贫攻坚任务完成后，党中央、国务院及时印发了《关于实现巩固拓展脱贫攻坚成果同乡村振兴有效衔接的意见》，要求脱贫攻坚目标任务完成后，设立5年过渡期。从解决建档立卡贫困人口“两不愁三保障”为重点转向实现乡村产业兴旺、生态宜居、乡风文明、治理有效、生活富裕，从集中资源支持脱贫攻坚转向巩固拓展脱贫攻坚成果和全面推进乡村振兴。到2025年，脱贫攻坚成果巩固拓展，乡村振兴全面推进，脱贫地区经济活力和发展后劲明显增强，乡村产业质量效益和竞争力进一步提高，农村基础设施和基本公共服务水平进一步提升，生态环境持续改善，美丽宜居乡村建设扎实推进，乡风文明建设取得显著进展，农村基层组织建设不断加强，农村低收入人口分类帮扶长效机制逐步完善，脱贫地区农民收入增速高于全国农民平均水平。</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过渡期内在保持财政支持政策总体稳定的前提下，根据巩固拓展脱贫攻坚成果同乡村振兴有效衔接的需要和财力状况，合理安排财政投入规模，优化支出结构，调整支持重点。保留并调整优化原财政专项扶贫资金，聚焦支持脱贫地区巩固拓展脱贫攻坚成果和乡村振兴，适当向国家乡村振兴重点帮扶县倾斜，并逐步提高用于产业发展的比例。</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临空经济开发区根据</w:t>
      </w:r>
      <w:bookmarkStart w:id="2" w:name="_GoBack"/>
      <w:bookmarkEnd w:id="2"/>
      <w:r>
        <w:rPr>
          <w:rFonts w:hint="eastAsia" w:ascii="仿宋_GB2312" w:hAnsi="宋体" w:eastAsia="仿宋_GB2312"/>
          <w:color w:val="auto"/>
          <w:sz w:val="28"/>
          <w:szCs w:val="28"/>
          <w:highlight w:val="none"/>
        </w:rPr>
        <w:t>《关于实现巩固拓展脱贫攻坚成果同乡村振兴有效衔接的意见》精神，采取“两上两下”（项目村向镇上报项目纳入镇级项目库，镇再向区申报项目纳入区级项目库；区乡村振兴局经过一定程序审定后向各镇批复，各镇再向村级批复）的方式，遴选并批复202</w:t>
      </w:r>
      <w:r>
        <w:rPr>
          <w:rFonts w:ascii="仿宋_GB2312" w:hAnsi="宋体" w:eastAsia="仿宋_GB2312"/>
          <w:color w:val="auto"/>
          <w:sz w:val="28"/>
          <w:szCs w:val="28"/>
          <w:highlight w:val="none"/>
        </w:rPr>
        <w:t>3</w:t>
      </w:r>
      <w:r>
        <w:rPr>
          <w:rFonts w:hint="eastAsia" w:ascii="仿宋_GB2312" w:hAnsi="宋体" w:eastAsia="仿宋_GB2312"/>
          <w:color w:val="auto"/>
          <w:sz w:val="28"/>
          <w:szCs w:val="28"/>
          <w:highlight w:val="none"/>
        </w:rPr>
        <w:t>年度乡村振兴项目。</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乡村振兴产业是关键，产业振兴是乡村振兴的基石。根据法规、政策和扶持集体经济建设项目的相关制度规定，严格规范操作、科学管理，加快项目实施建设，按时、按质、按量完成扶持集体经济发展建设项目，乡村振兴中的重点是如何实施增加农民收入，壮大村集体经济。因杨叶村紧靠黄石、武汉的地理优势，人多地少，又有传统种植蔬菜瓜果的经验，所以杨叶村向镇申报了202</w:t>
      </w:r>
      <w:r>
        <w:rPr>
          <w:rFonts w:ascii="仿宋_GB2312" w:hAnsi="宋体" w:eastAsia="仿宋_GB2312"/>
          <w:color w:val="auto"/>
          <w:sz w:val="28"/>
          <w:szCs w:val="28"/>
          <w:highlight w:val="none"/>
        </w:rPr>
        <w:t>3</w:t>
      </w:r>
      <w:r>
        <w:rPr>
          <w:rFonts w:hint="eastAsia" w:ascii="仿宋_GB2312" w:hAnsi="宋体" w:eastAsia="仿宋_GB2312"/>
          <w:color w:val="auto"/>
          <w:sz w:val="28"/>
          <w:szCs w:val="28"/>
          <w:highlight w:val="none"/>
        </w:rPr>
        <w:t>年度乡村振兴项目——杨叶村中沟套高标准蔬菜瓜果种植基地示范项目·第二期（以下简称中沟套蔬果基地项目）。202</w:t>
      </w:r>
      <w:r>
        <w:rPr>
          <w:rFonts w:ascii="仿宋_GB2312" w:hAnsi="宋体" w:eastAsia="仿宋_GB2312"/>
          <w:color w:val="auto"/>
          <w:sz w:val="28"/>
          <w:szCs w:val="28"/>
          <w:highlight w:val="none"/>
        </w:rPr>
        <w:t>3</w:t>
      </w:r>
      <w:r>
        <w:rPr>
          <w:rFonts w:hint="eastAsia" w:ascii="仿宋_GB2312" w:hAnsi="宋体" w:eastAsia="仿宋_GB2312"/>
          <w:color w:val="auto"/>
          <w:sz w:val="28"/>
          <w:szCs w:val="28"/>
          <w:highlight w:val="none"/>
        </w:rPr>
        <w:t>年3月，杨叶镇向区乡村振兴局上报了《关于申报202</w:t>
      </w:r>
      <w:r>
        <w:rPr>
          <w:rFonts w:ascii="仿宋_GB2312" w:hAnsi="宋体" w:eastAsia="仿宋_GB2312"/>
          <w:color w:val="auto"/>
          <w:sz w:val="28"/>
          <w:szCs w:val="28"/>
          <w:highlight w:val="none"/>
        </w:rPr>
        <w:t>3</w:t>
      </w:r>
      <w:r>
        <w:rPr>
          <w:rFonts w:hint="eastAsia" w:ascii="仿宋_GB2312" w:hAnsi="宋体" w:eastAsia="仿宋_GB2312"/>
          <w:color w:val="auto"/>
          <w:sz w:val="28"/>
          <w:szCs w:val="28"/>
          <w:highlight w:val="none"/>
        </w:rPr>
        <w:t>年度杨叶镇人民政府关于申报财政衔接推进乡村振兴补助资金项目的函》，上报了杨叶镇镇纳入202</w:t>
      </w:r>
      <w:r>
        <w:rPr>
          <w:rFonts w:ascii="仿宋_GB2312" w:hAnsi="宋体" w:eastAsia="仿宋_GB2312"/>
          <w:color w:val="auto"/>
          <w:sz w:val="28"/>
          <w:szCs w:val="28"/>
          <w:highlight w:val="none"/>
        </w:rPr>
        <w:t>3</w:t>
      </w:r>
      <w:r>
        <w:rPr>
          <w:rFonts w:hint="eastAsia" w:ascii="仿宋_GB2312" w:hAnsi="宋体" w:eastAsia="仿宋_GB2312"/>
          <w:color w:val="auto"/>
          <w:sz w:val="28"/>
          <w:szCs w:val="28"/>
          <w:highlight w:val="none"/>
        </w:rPr>
        <w:t>年度临空经济开发区实施乡村振兴规划项目库，其中包含中沟套蔬果基地项目。</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区乡村振兴局向各镇下发了《关于2023年度申报实施乡村振兴项目库的批复》，批复了中沟套蔬果基地项目，年度资金总额2,080,000.00元，其中：财政衔接资金1,000,000.00元，其他资金1,080,000.00元。</w:t>
      </w:r>
    </w:p>
    <w:p>
      <w:pPr>
        <w:widowControl/>
        <w:spacing w:line="300" w:lineRule="auto"/>
        <w:ind w:firstLine="540" w:firstLineChars="192"/>
        <w:jc w:val="left"/>
        <w:rPr>
          <w:rFonts w:ascii="ˎ̥" w:hAnsi="ˎ̥"/>
          <w:b/>
          <w:color w:val="auto"/>
          <w:sz w:val="28"/>
          <w:szCs w:val="28"/>
          <w:highlight w:val="none"/>
        </w:rPr>
      </w:pPr>
      <w:r>
        <w:rPr>
          <w:rFonts w:hint="eastAsia" w:ascii="宋体" w:hAnsi="宋体" w:cs="宋体"/>
          <w:b/>
          <w:bCs/>
          <w:color w:val="auto"/>
          <w:kern w:val="0"/>
          <w:sz w:val="28"/>
          <w:szCs w:val="28"/>
          <w:highlight w:val="none"/>
        </w:rPr>
        <w:t>（二）</w:t>
      </w:r>
      <w:r>
        <w:rPr>
          <w:rFonts w:hint="eastAsia" w:ascii="ˎ̥" w:hAnsi="ˎ̥"/>
          <w:b/>
          <w:color w:val="auto"/>
          <w:sz w:val="28"/>
          <w:szCs w:val="28"/>
          <w:highlight w:val="none"/>
        </w:rPr>
        <w:t>项目实施单位情况</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杨叶镇杨叶村民委员会（以下简称杨叶村），法定代表人：李浩。统一社会信用代码：54420704K26248990T。</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杨叶村地处鄂城区东部，因毗邻黄石市，杨叶蔬菜有着黄石“菜篮子”的美誉。依托自然山水、乡村田园的特色优势，杨叶镇把果蔬种植作为乡村振兴的有效路径，全镇蔬菜种植专业合作社、家庭农场有22家。近年来，杨叶镇蔬菜产业逐步从家庭单元式、粗放式种植向规模化、精细化种植方向发展。</w:t>
      </w:r>
    </w:p>
    <w:p>
      <w:pPr>
        <w:widowControl/>
        <w:spacing w:line="300" w:lineRule="auto"/>
        <w:ind w:firstLine="562" w:firstLineChars="200"/>
        <w:jc w:val="left"/>
        <w:rPr>
          <w:rFonts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（三）项目基本情况</w:t>
      </w:r>
    </w:p>
    <w:p>
      <w:pPr>
        <w:widowControl/>
        <w:spacing w:line="300" w:lineRule="auto"/>
        <w:ind w:firstLine="537" w:firstLineChars="192"/>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杨叶村近年来积极调整农业种植结构，率先在全市引进应用羊肚菌高产栽培技术并取得成功。杨叶村依托自然山水、乡村田园的特色优势，把果蔬种植作为乡村振兴的有效路径，全镇蔬菜种植专业合作社、家庭农场有22家。近年来，杨叶镇蔬菜产业逐步从家庭单元式、粗放式种植向规模化。</w:t>
      </w:r>
    </w:p>
    <w:p>
      <w:pPr>
        <w:widowControl/>
        <w:spacing w:line="300" w:lineRule="auto"/>
        <w:ind w:firstLine="537" w:firstLineChars="192"/>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为加快推进蔬菜产业发展，杨叶村在中沟套高标准蔬菜瓜果种植基地（第一期）项目基础上，继续申报中沟套高标准蔬菜瓜果种植基地（第二期），在项目区域内升级改造种植大棚，新建高标准大棚及配套，灌溉水源工程，使基地规模更大，逐步形成集休闲观光采摘娱乐为一体的生态农业产业，带动群众就业增收，推进产业振兴。确保脱贫户、一般户通过产业扶贫项目增收巩固脱贫成效。明确资产收益分配，建立利益联结和带贫减贫长效机制。</w:t>
      </w:r>
    </w:p>
    <w:p>
      <w:pPr>
        <w:widowControl/>
        <w:spacing w:line="300" w:lineRule="auto"/>
        <w:ind w:firstLine="562" w:firstLineChars="200"/>
        <w:jc w:val="left"/>
        <w:rPr>
          <w:rFonts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（四）项目绩效目标</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杨叶村中沟套高标准蔬菜瓜果种植基地，拟投资208万余元，示范推广土壤改良和新品种、新技术运用，发展羊肚菌等特色作物种植，新建高标准大棚及配套，灌溉水源工程，使基地规模更大，逐步形成集休闲观光采摘娱乐为一体的生态农业产业，建立完善联农带农机制，提高种植效益的同时，带动群众就业增收。绩效目标：</w:t>
      </w:r>
    </w:p>
    <w:p>
      <w:pPr>
        <w:pStyle w:val="8"/>
        <w:spacing w:line="300" w:lineRule="auto"/>
        <w:ind w:firstLine="56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1、产出指标：一是草莓、葡萄种植面积≥90亩；二是种植业特色产业成活率≥100%；三是项目完成及时率达到1</w:t>
      </w:r>
      <w:r>
        <w:rPr>
          <w:rFonts w:ascii="仿宋_GB2312" w:hAnsi="宋体" w:eastAsia="仿宋_GB2312"/>
          <w:color w:val="auto"/>
          <w:sz w:val="28"/>
          <w:szCs w:val="28"/>
          <w:highlight w:val="none"/>
        </w:rPr>
        <w:t>00</w:t>
      </w:r>
      <w:r>
        <w:rPr>
          <w:rFonts w:hint="eastAsia" w:ascii="仿宋_GB2312" w:hAnsi="宋体" w:eastAsia="仿宋_GB2312"/>
          <w:color w:val="auto"/>
          <w:sz w:val="28"/>
          <w:szCs w:val="28"/>
          <w:highlight w:val="none"/>
        </w:rPr>
        <w:t>%。</w:t>
      </w:r>
    </w:p>
    <w:p>
      <w:pPr>
        <w:pStyle w:val="8"/>
        <w:spacing w:line="300" w:lineRule="auto"/>
        <w:ind w:firstLine="56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2、经济指标：一是特色产业带动增加脱贫人口总收入≥15万元；二是农业科技带动增加特色产业产值。</w:t>
      </w:r>
    </w:p>
    <w:p>
      <w:pPr>
        <w:pStyle w:val="8"/>
        <w:spacing w:line="300" w:lineRule="auto"/>
        <w:ind w:firstLine="56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3、社会效益：一受益建档立卡脱贫人口数≥30人；二是特色产业带动增加脱贫人口就业人数≥10人。</w:t>
      </w:r>
    </w:p>
    <w:p>
      <w:pPr>
        <w:pStyle w:val="8"/>
        <w:spacing w:line="300" w:lineRule="auto"/>
        <w:ind w:firstLine="56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4、生态效益：一是农业科技改善耕地面积</w:t>
      </w:r>
      <w:r>
        <w:rPr>
          <w:rFonts w:ascii="仿宋_GB2312" w:hAnsi="宋体" w:eastAsia="仿宋_GB2312"/>
          <w:color w:val="auto"/>
          <w:sz w:val="28"/>
          <w:szCs w:val="28"/>
          <w:highlight w:val="none"/>
        </w:rPr>
        <w:t>≥</w:t>
      </w:r>
      <w:r>
        <w:rPr>
          <w:rFonts w:hint="eastAsia" w:ascii="仿宋_GB2312" w:hAnsi="宋体" w:eastAsia="仿宋_GB2312"/>
          <w:color w:val="auto"/>
          <w:sz w:val="28"/>
          <w:szCs w:val="28"/>
          <w:highlight w:val="none"/>
        </w:rPr>
        <w:t>100亩；二是周边环境整洁、美化比率</w:t>
      </w:r>
      <w:r>
        <w:rPr>
          <w:rFonts w:ascii="仿宋_GB2312" w:hAnsi="宋体" w:eastAsia="仿宋_GB2312"/>
          <w:color w:val="auto"/>
          <w:sz w:val="28"/>
          <w:szCs w:val="28"/>
          <w:highlight w:val="none"/>
        </w:rPr>
        <w:t>≥</w:t>
      </w:r>
      <w:r>
        <w:rPr>
          <w:rFonts w:hint="eastAsia" w:ascii="仿宋_GB2312" w:hAnsi="宋体" w:eastAsia="仿宋_GB2312"/>
          <w:color w:val="auto"/>
          <w:sz w:val="28"/>
          <w:szCs w:val="28"/>
          <w:highlight w:val="none"/>
        </w:rPr>
        <w:t>1</w:t>
      </w:r>
      <w:r>
        <w:rPr>
          <w:rFonts w:ascii="仿宋_GB2312" w:hAnsi="宋体" w:eastAsia="仿宋_GB2312"/>
          <w:color w:val="auto"/>
          <w:sz w:val="28"/>
          <w:szCs w:val="28"/>
          <w:highlight w:val="none"/>
        </w:rPr>
        <w:t>00</w:t>
      </w:r>
      <w:r>
        <w:rPr>
          <w:rFonts w:hint="eastAsia" w:ascii="仿宋_GB2312" w:hAnsi="宋体" w:eastAsia="仿宋_GB2312"/>
          <w:color w:val="auto"/>
          <w:sz w:val="28"/>
          <w:szCs w:val="28"/>
          <w:highlight w:val="none"/>
        </w:rPr>
        <w:t>%。</w:t>
      </w:r>
    </w:p>
    <w:p>
      <w:pPr>
        <w:pStyle w:val="8"/>
        <w:spacing w:line="300" w:lineRule="auto"/>
        <w:ind w:firstLine="56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5、可持续影响：长效产业持续带动增收时间</w:t>
      </w:r>
      <w:r>
        <w:rPr>
          <w:rFonts w:ascii="仿宋_GB2312" w:hAnsi="宋体" w:eastAsia="仿宋_GB2312"/>
          <w:color w:val="auto"/>
          <w:sz w:val="28"/>
          <w:szCs w:val="28"/>
          <w:highlight w:val="none"/>
        </w:rPr>
        <w:t>≥</w:t>
      </w:r>
      <w:r>
        <w:rPr>
          <w:rFonts w:hint="eastAsia" w:ascii="仿宋_GB2312" w:hAnsi="宋体" w:eastAsia="仿宋_GB2312"/>
          <w:color w:val="auto"/>
          <w:sz w:val="28"/>
          <w:szCs w:val="28"/>
          <w:highlight w:val="none"/>
        </w:rPr>
        <w:t>10年。</w:t>
      </w:r>
    </w:p>
    <w:p>
      <w:pPr>
        <w:spacing w:line="300" w:lineRule="auto"/>
        <w:ind w:firstLine="562" w:firstLineChars="200"/>
        <w:rPr>
          <w:b/>
          <w:bCs/>
          <w:color w:val="auto"/>
          <w:sz w:val="28"/>
          <w:szCs w:val="28"/>
          <w:highlight w:val="none"/>
        </w:rPr>
      </w:pPr>
      <w:r>
        <w:rPr>
          <w:rFonts w:hint="eastAsia"/>
          <w:b/>
          <w:bCs/>
          <w:color w:val="auto"/>
          <w:sz w:val="28"/>
          <w:szCs w:val="28"/>
          <w:highlight w:val="none"/>
        </w:rPr>
        <w:t>（五）</w:t>
      </w:r>
      <w:r>
        <w:rPr>
          <w:rFonts w:hint="eastAsia" w:ascii="宋体" w:hAnsi="宋体" w:cs="宋体"/>
          <w:b/>
          <w:bCs/>
          <w:color w:val="auto"/>
          <w:kern w:val="0"/>
          <w:sz w:val="28"/>
          <w:szCs w:val="28"/>
          <w:highlight w:val="none"/>
        </w:rPr>
        <w:t>项目申报及完成投资情况</w:t>
      </w:r>
    </w:p>
    <w:p>
      <w:pPr>
        <w:spacing w:line="300" w:lineRule="auto"/>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1、项目申报投资。项目申报投资</w:t>
      </w:r>
      <w:r>
        <w:rPr>
          <w:rFonts w:hint="eastAsia" w:ascii="仿宋_GB2312" w:hAnsi="宋体" w:eastAsia="仿宋_GB2312"/>
          <w:color w:val="auto"/>
          <w:sz w:val="28"/>
          <w:szCs w:val="28"/>
          <w:highlight w:val="none"/>
        </w:rPr>
        <w:t>2,080,000.00元</w:t>
      </w:r>
      <w:r>
        <w:rPr>
          <w:rFonts w:hint="eastAsia" w:ascii="仿宋_GB2312" w:eastAsia="仿宋_GB2312"/>
          <w:color w:val="auto"/>
          <w:sz w:val="28"/>
          <w:szCs w:val="28"/>
          <w:highlight w:val="none"/>
        </w:rPr>
        <w:t>，其中：财政衔接资金1,000,000.00元，其他资金</w:t>
      </w:r>
      <w:r>
        <w:rPr>
          <w:rFonts w:hint="eastAsia" w:ascii="仿宋_GB2312" w:hAnsi="宋体" w:eastAsia="仿宋_GB2312"/>
          <w:color w:val="auto"/>
          <w:sz w:val="28"/>
          <w:szCs w:val="28"/>
          <w:highlight w:val="none"/>
        </w:rPr>
        <w:t>1,080,000.00</w:t>
      </w:r>
      <w:r>
        <w:rPr>
          <w:rFonts w:hint="eastAsia" w:ascii="仿宋_GB2312" w:eastAsia="仿宋_GB2312"/>
          <w:color w:val="auto"/>
          <w:sz w:val="28"/>
          <w:szCs w:val="28"/>
          <w:highlight w:val="none"/>
        </w:rPr>
        <w:t>元。</w:t>
      </w:r>
    </w:p>
    <w:p>
      <w:pPr>
        <w:spacing w:line="300" w:lineRule="auto"/>
        <w:ind w:firstLine="560" w:firstLineChars="200"/>
        <w:rPr>
          <w:rFonts w:eastAsia="仿宋_GB2312"/>
          <w:b/>
          <w:bCs/>
          <w:color w:val="auto"/>
          <w:sz w:val="28"/>
          <w:szCs w:val="28"/>
          <w:highlight w:val="none"/>
        </w:rPr>
      </w:pPr>
      <w:r>
        <w:rPr>
          <w:rFonts w:hint="eastAsia" w:ascii="仿宋_GB2312" w:eastAsia="仿宋_GB2312"/>
          <w:color w:val="auto"/>
          <w:sz w:val="28"/>
          <w:szCs w:val="28"/>
          <w:highlight w:val="none"/>
        </w:rPr>
        <w:t>2、项目暂未竣工结算，投资情况暂时无法准确认定。但是，从项目建设单位提供的资料看，项目签订合同金额只有109.40万元，其中：施工合同金额108.20万元（湖北富景建筑安装有限公司鄂州市临空经济区分公司），设计费1.20万元（湖北佳境建筑设计有限公司）。</w:t>
      </w:r>
    </w:p>
    <w:p>
      <w:pPr>
        <w:spacing w:line="300" w:lineRule="auto"/>
        <w:ind w:firstLine="562" w:firstLineChars="200"/>
        <w:rPr>
          <w:b/>
          <w:bCs/>
          <w:color w:val="auto"/>
          <w:sz w:val="28"/>
          <w:szCs w:val="28"/>
          <w:highlight w:val="none"/>
        </w:rPr>
      </w:pPr>
      <w:r>
        <w:rPr>
          <w:rFonts w:hint="eastAsia"/>
          <w:b/>
          <w:bCs/>
          <w:color w:val="auto"/>
          <w:sz w:val="28"/>
          <w:szCs w:val="28"/>
          <w:highlight w:val="none"/>
        </w:rPr>
        <w:t>（六）项目资金收付情况</w:t>
      </w:r>
    </w:p>
    <w:p>
      <w:pPr>
        <w:widowControl/>
        <w:spacing w:line="300" w:lineRule="auto"/>
        <w:ind w:firstLine="560" w:firstLineChars="200"/>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临空经济区乡村振兴财政衔接资金，采取财政直达方式，直接拨付至用款单位。</w:t>
      </w:r>
    </w:p>
    <w:p>
      <w:pPr>
        <w:widowControl/>
        <w:spacing w:line="300" w:lineRule="auto"/>
        <w:ind w:firstLine="560" w:firstLineChars="200"/>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该项目财政衔接资金1,000,000.00元。</w:t>
      </w:r>
    </w:p>
    <w:p>
      <w:pPr>
        <w:widowControl/>
        <w:spacing w:line="300" w:lineRule="auto"/>
        <w:ind w:firstLine="560" w:firstLineChars="200"/>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截至2024年3月31日，已经拨付财政衔接资金612,000.00元，其中：工程施工费600,000.00元</w:t>
      </w:r>
      <w:r>
        <w:rPr>
          <w:rFonts w:hint="eastAsia" w:ascii="仿宋_GB2312" w:eastAsia="仿宋_GB2312"/>
          <w:color w:val="auto"/>
          <w:sz w:val="28"/>
          <w:szCs w:val="28"/>
          <w:highlight w:val="none"/>
        </w:rPr>
        <w:t>（湖北富景建筑安装有限公司鄂州市临空经济区分公司）</w:t>
      </w:r>
      <w:r>
        <w:rPr>
          <w:rFonts w:hint="eastAsia" w:ascii="仿宋_GB2312" w:hAnsi="宋体" w:eastAsia="仿宋_GB2312"/>
          <w:color w:val="auto"/>
          <w:sz w:val="28"/>
          <w:szCs w:val="28"/>
          <w:highlight w:val="none"/>
        </w:rPr>
        <w:t>，设计费12,000.00元（</w:t>
      </w:r>
      <w:r>
        <w:rPr>
          <w:rFonts w:hint="eastAsia" w:ascii="仿宋_GB2312" w:eastAsia="仿宋_GB2312"/>
          <w:color w:val="auto"/>
          <w:sz w:val="28"/>
          <w:szCs w:val="28"/>
          <w:highlight w:val="none"/>
        </w:rPr>
        <w:t>湖北佳境建筑设计有限公司）</w:t>
      </w:r>
      <w:r>
        <w:rPr>
          <w:rFonts w:hint="eastAsia" w:ascii="仿宋_GB2312" w:hAnsi="宋体" w:eastAsia="仿宋_GB2312"/>
          <w:color w:val="auto"/>
          <w:sz w:val="28"/>
          <w:szCs w:val="28"/>
          <w:highlight w:val="none"/>
        </w:rPr>
        <w:t>。</w:t>
      </w:r>
    </w:p>
    <w:p>
      <w:pPr>
        <w:widowControl/>
        <w:spacing w:line="300" w:lineRule="auto"/>
        <w:ind w:firstLine="411" w:firstLineChars="147"/>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暂未拨付资金388,000.00元。</w:t>
      </w:r>
    </w:p>
    <w:p>
      <w:pPr>
        <w:widowControl/>
        <w:spacing w:line="300" w:lineRule="auto"/>
        <w:ind w:firstLine="413" w:firstLineChars="147"/>
        <w:jc w:val="left"/>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二、绩效评价工作情况</w:t>
      </w:r>
    </w:p>
    <w:p>
      <w:pPr>
        <w:widowControl/>
        <w:spacing w:line="300" w:lineRule="auto"/>
        <w:ind w:firstLine="413" w:firstLineChars="147"/>
        <w:jc w:val="left"/>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（一）绩效评价目的</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通过本次评价，旨在全面了解杨叶村中沟套高标准蔬菜瓜果种植基地建设情况、财政衔接资金拨付和使用情况以及取得的综合绩效。同时通过对项目资金绩效评价，总结经验、发现问题、提出改进建议，保证项目资金使用管理的规范性、安全性和有效性。推进景区健康、可持续发展做出积极的贡献。</w:t>
      </w:r>
    </w:p>
    <w:p>
      <w:pPr>
        <w:widowControl/>
        <w:spacing w:line="300" w:lineRule="auto"/>
        <w:ind w:firstLine="413" w:firstLineChars="147"/>
        <w:jc w:val="left"/>
        <w:rPr>
          <w:rFonts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（二）评价对象与范围</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本次资金绩效评价对象与范围为：杨叶村中沟套高标准蔬菜瓜果种植基地财政衔接资金100万元和其他资金108万元的拨付和使用情况。</w:t>
      </w:r>
    </w:p>
    <w:p>
      <w:pPr>
        <w:widowControl/>
        <w:spacing w:line="300" w:lineRule="auto"/>
        <w:ind w:firstLine="562" w:firstLineChars="200"/>
        <w:jc w:val="left"/>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三、评价结论</w:t>
      </w:r>
    </w:p>
    <w:p>
      <w:pPr>
        <w:widowControl/>
        <w:spacing w:line="300" w:lineRule="auto"/>
        <w:ind w:firstLine="413" w:firstLineChars="147"/>
        <w:jc w:val="left"/>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（一）评分结果</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杨叶村中沟套高标准蔬菜瓜果种植基地财政衔接资金绩效评价采用了成本效益分析法、目标比较法、因素分析法、问卷调查法等方法，按照财政衔接推进乡村振兴补助目标核实了项目实际执行情况。通过检查项目收入支出情况、现场勘察、走访访谈等形式进行综合评价，通过定量分析与定性分析得出综合评价结果。</w:t>
      </w:r>
    </w:p>
    <w:p>
      <w:pPr>
        <w:spacing w:line="300" w:lineRule="auto"/>
        <w:ind w:firstLine="560" w:firstLineChars="200"/>
        <w:rPr>
          <w:color w:val="auto"/>
          <w:highlight w:val="none"/>
        </w:rPr>
      </w:pPr>
      <w:r>
        <w:rPr>
          <w:rFonts w:hint="eastAsia" w:ascii="仿宋_GB2312" w:hAnsi="宋体" w:eastAsia="仿宋_GB2312"/>
          <w:color w:val="auto"/>
          <w:sz w:val="28"/>
          <w:szCs w:val="28"/>
          <w:highlight w:val="none"/>
        </w:rPr>
        <w:t>经评价工作组评定，杨叶村中沟套高标准蔬菜瓜果种植基地财政衔接资金绩效评价综合得分为73分，绩效等级为中。</w:t>
      </w:r>
    </w:p>
    <w:tbl>
      <w:tblPr>
        <w:tblStyle w:val="6"/>
        <w:tblW w:w="8700" w:type="dxa"/>
        <w:tblInd w:w="96" w:type="dxa"/>
        <w:tblLayout w:type="fixed"/>
        <w:tblCellMar>
          <w:top w:w="0" w:type="dxa"/>
          <w:left w:w="108" w:type="dxa"/>
          <w:bottom w:w="0" w:type="dxa"/>
          <w:right w:w="108" w:type="dxa"/>
        </w:tblCellMar>
      </w:tblPr>
      <w:tblGrid>
        <w:gridCol w:w="521"/>
        <w:gridCol w:w="477"/>
        <w:gridCol w:w="1319"/>
        <w:gridCol w:w="477"/>
        <w:gridCol w:w="2366"/>
        <w:gridCol w:w="617"/>
        <w:gridCol w:w="677"/>
        <w:gridCol w:w="2246"/>
      </w:tblGrid>
      <w:tr>
        <w:tblPrEx>
          <w:tblCellMar>
            <w:top w:w="0" w:type="dxa"/>
            <w:left w:w="108" w:type="dxa"/>
            <w:bottom w:w="0" w:type="dxa"/>
            <w:right w:w="108" w:type="dxa"/>
          </w:tblCellMar>
        </w:tblPrEx>
        <w:trPr>
          <w:trHeight w:val="372" w:hRule="atLeast"/>
        </w:trPr>
        <w:tc>
          <w:tcPr>
            <w:tcW w:w="8700" w:type="dxa"/>
            <w:gridSpan w:val="8"/>
            <w:tcBorders>
              <w:top w:val="nil"/>
              <w:left w:val="nil"/>
              <w:bottom w:val="nil"/>
              <w:right w:val="nil"/>
            </w:tcBorders>
            <w:noWrap/>
            <w:vAlign w:val="center"/>
          </w:tcPr>
          <w:p>
            <w:pPr>
              <w:widowControl/>
              <w:jc w:val="center"/>
              <w:textAlignment w:val="center"/>
              <w:rPr>
                <w:rFonts w:ascii="宋体" w:hAnsi="宋体" w:cs="宋体"/>
                <w:color w:val="auto"/>
                <w:sz w:val="22"/>
                <w:szCs w:val="22"/>
                <w:highlight w:val="none"/>
              </w:rPr>
            </w:pPr>
            <w:r>
              <w:rPr>
                <w:rFonts w:hint="eastAsia" w:ascii="宋体" w:hAnsi="宋体" w:cs="宋体"/>
                <w:b/>
                <w:bCs/>
                <w:color w:val="auto"/>
                <w:kern w:val="0"/>
                <w:sz w:val="28"/>
                <w:szCs w:val="28"/>
                <w:highlight w:val="none"/>
                <w:lang w:bidi="ar"/>
              </w:rPr>
              <w:t>杨叶村休闲观光农业基地项目评分简表</w:t>
            </w:r>
          </w:p>
        </w:tc>
      </w:tr>
      <w:tr>
        <w:tblPrEx>
          <w:tblCellMar>
            <w:top w:w="0" w:type="dxa"/>
            <w:left w:w="108" w:type="dxa"/>
            <w:bottom w:w="0" w:type="dxa"/>
            <w:right w:w="108" w:type="dxa"/>
          </w:tblCellMar>
        </w:tblPrEx>
        <w:trPr>
          <w:trHeight w:val="90" w:hRule="atLeast"/>
        </w:trPr>
        <w:tc>
          <w:tcPr>
            <w:tcW w:w="52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一级</w:t>
            </w:r>
          </w:p>
        </w:tc>
        <w:tc>
          <w:tcPr>
            <w:tcW w:w="47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分</w:t>
            </w:r>
          </w:p>
        </w:tc>
        <w:tc>
          <w:tcPr>
            <w:tcW w:w="131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二级</w:t>
            </w:r>
          </w:p>
        </w:tc>
        <w:tc>
          <w:tcPr>
            <w:tcW w:w="47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分</w:t>
            </w:r>
          </w:p>
        </w:tc>
        <w:tc>
          <w:tcPr>
            <w:tcW w:w="236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三级指标</w:t>
            </w:r>
          </w:p>
        </w:tc>
        <w:tc>
          <w:tcPr>
            <w:tcW w:w="6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分</w:t>
            </w:r>
          </w:p>
        </w:tc>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b/>
                <w:bCs/>
                <w:color w:val="auto"/>
                <w:highlight w:val="none"/>
              </w:rPr>
            </w:pPr>
            <w:r>
              <w:rPr>
                <w:rFonts w:hint="eastAsia" w:ascii="宋体" w:hAnsi="宋体" w:cs="宋体"/>
                <w:b/>
                <w:bCs/>
                <w:color w:val="auto"/>
                <w:kern w:val="0"/>
                <w:sz w:val="20"/>
                <w:szCs w:val="20"/>
                <w:highlight w:val="none"/>
                <w:lang w:bidi="ar"/>
              </w:rPr>
              <w:t>得分</w:t>
            </w:r>
          </w:p>
        </w:tc>
        <w:tc>
          <w:tcPr>
            <w:tcW w:w="224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auto"/>
                <w:sz w:val="20"/>
                <w:szCs w:val="20"/>
                <w:highlight w:val="none"/>
              </w:rPr>
            </w:pPr>
            <w:r>
              <w:rPr>
                <w:rFonts w:hint="eastAsia" w:ascii="宋体" w:hAnsi="宋体" w:cs="宋体"/>
                <w:b/>
                <w:bCs/>
                <w:color w:val="auto"/>
                <w:kern w:val="0"/>
                <w:sz w:val="20"/>
                <w:szCs w:val="20"/>
                <w:highlight w:val="none"/>
                <w:lang w:bidi="ar"/>
              </w:rPr>
              <w:t>失分原因</w:t>
            </w:r>
          </w:p>
        </w:tc>
      </w:tr>
      <w:tr>
        <w:tblPrEx>
          <w:tblCellMar>
            <w:top w:w="0" w:type="dxa"/>
            <w:left w:w="108" w:type="dxa"/>
            <w:bottom w:w="0" w:type="dxa"/>
            <w:right w:w="108" w:type="dxa"/>
          </w:tblCellMar>
        </w:tblPrEx>
        <w:trPr>
          <w:trHeight w:val="601" w:hRule="atLeast"/>
        </w:trPr>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0"/>
                <w:szCs w:val="20"/>
                <w:highlight w:val="none"/>
              </w:rPr>
            </w:pPr>
            <w:r>
              <w:rPr>
                <w:rFonts w:hint="eastAsia" w:ascii="宋体" w:hAnsi="宋体" w:cs="宋体"/>
                <w:b/>
                <w:bCs/>
                <w:color w:val="auto"/>
                <w:kern w:val="0"/>
                <w:sz w:val="20"/>
                <w:szCs w:val="20"/>
                <w:highlight w:val="none"/>
                <w:lang w:bidi="ar"/>
              </w:rPr>
              <w:t>指标</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b/>
                <w:bCs/>
                <w:color w:val="auto"/>
                <w:kern w:val="0"/>
                <w:sz w:val="20"/>
                <w:szCs w:val="20"/>
                <w:highlight w:val="none"/>
                <w:lang w:bidi="ar"/>
              </w:rPr>
              <w:t>值</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0"/>
                <w:szCs w:val="20"/>
                <w:highlight w:val="none"/>
              </w:rPr>
            </w:pPr>
            <w:r>
              <w:rPr>
                <w:rFonts w:hint="eastAsia" w:ascii="宋体" w:hAnsi="宋体" w:cs="宋体"/>
                <w:b/>
                <w:bCs/>
                <w:color w:val="auto"/>
                <w:kern w:val="0"/>
                <w:sz w:val="20"/>
                <w:szCs w:val="20"/>
                <w:highlight w:val="none"/>
                <w:lang w:bidi="ar"/>
              </w:rPr>
              <w:t>指标</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b/>
                <w:bCs/>
                <w:color w:val="auto"/>
                <w:kern w:val="0"/>
                <w:sz w:val="20"/>
                <w:szCs w:val="20"/>
                <w:highlight w:val="none"/>
                <w:lang w:bidi="ar"/>
              </w:rPr>
              <w:t>值</w:t>
            </w:r>
          </w:p>
        </w:tc>
        <w:tc>
          <w:tcPr>
            <w:tcW w:w="23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0"/>
                <w:szCs w:val="20"/>
                <w:highlight w:val="none"/>
              </w:rPr>
            </w:pPr>
          </w:p>
        </w:tc>
        <w:tc>
          <w:tcPr>
            <w:tcW w:w="6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b/>
                <w:bCs/>
                <w:color w:val="auto"/>
                <w:kern w:val="0"/>
                <w:sz w:val="20"/>
                <w:szCs w:val="20"/>
                <w:highlight w:val="none"/>
                <w:lang w:bidi="ar"/>
              </w:rPr>
              <w:t>值</w:t>
            </w:r>
          </w:p>
        </w:tc>
        <w:tc>
          <w:tcPr>
            <w:tcW w:w="67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auto"/>
                <w:highlight w:val="none"/>
              </w:rPr>
            </w:pPr>
          </w:p>
        </w:tc>
        <w:tc>
          <w:tcPr>
            <w:tcW w:w="224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决策</w:t>
            </w:r>
          </w:p>
        </w:tc>
        <w:tc>
          <w:tcPr>
            <w:tcW w:w="47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18</w:t>
            </w:r>
          </w:p>
        </w:tc>
        <w:tc>
          <w:tcPr>
            <w:tcW w:w="13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项目立项</w:t>
            </w:r>
          </w:p>
        </w:tc>
        <w:tc>
          <w:tcPr>
            <w:tcW w:w="47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6</w:t>
            </w:r>
          </w:p>
        </w:tc>
        <w:tc>
          <w:tcPr>
            <w:tcW w:w="23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立项依据充分性</w:t>
            </w:r>
          </w:p>
        </w:tc>
        <w:tc>
          <w:tcPr>
            <w:tcW w:w="6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2</w:t>
            </w:r>
          </w:p>
        </w:tc>
        <w:tc>
          <w:tcPr>
            <w:tcW w:w="6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2</w:t>
            </w:r>
          </w:p>
        </w:tc>
        <w:tc>
          <w:tcPr>
            <w:tcW w:w="2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3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立项程序规范性</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4</w:t>
            </w:r>
          </w:p>
        </w:tc>
        <w:tc>
          <w:tcPr>
            <w:tcW w:w="677" w:type="dxa"/>
            <w:tcBorders>
              <w:top w:val="single" w:color="000000" w:sz="4" w:space="0"/>
              <w:left w:val="single" w:color="000000" w:sz="4" w:space="0"/>
              <w:bottom w:val="single" w:color="000000" w:sz="4" w:space="0"/>
              <w:right w:val="single" w:color="000000" w:sz="4" w:space="0"/>
            </w:tcBorders>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4</w:t>
            </w:r>
          </w:p>
        </w:tc>
        <w:tc>
          <w:tcPr>
            <w:tcW w:w="2246"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31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绩效目标</w:t>
            </w:r>
          </w:p>
        </w:tc>
        <w:tc>
          <w:tcPr>
            <w:tcW w:w="477"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7</w:t>
            </w:r>
          </w:p>
        </w:tc>
        <w:tc>
          <w:tcPr>
            <w:tcW w:w="23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绩效目标合理性</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3</w:t>
            </w:r>
          </w:p>
        </w:tc>
        <w:tc>
          <w:tcPr>
            <w:tcW w:w="677" w:type="dxa"/>
            <w:tcBorders>
              <w:top w:val="single" w:color="000000" w:sz="4" w:space="0"/>
              <w:left w:val="single" w:color="000000" w:sz="4" w:space="0"/>
              <w:bottom w:val="single" w:color="000000" w:sz="4" w:space="0"/>
              <w:right w:val="single" w:color="000000" w:sz="4" w:space="0"/>
            </w:tcBorders>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3</w:t>
            </w:r>
          </w:p>
        </w:tc>
        <w:tc>
          <w:tcPr>
            <w:tcW w:w="2246"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3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绩效指标的批复</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4</w:t>
            </w:r>
          </w:p>
        </w:tc>
        <w:tc>
          <w:tcPr>
            <w:tcW w:w="677" w:type="dxa"/>
            <w:tcBorders>
              <w:top w:val="single" w:color="000000" w:sz="4" w:space="0"/>
              <w:left w:val="single" w:color="000000" w:sz="4" w:space="0"/>
              <w:bottom w:val="single" w:color="000000" w:sz="4" w:space="0"/>
              <w:right w:val="single" w:color="000000" w:sz="4" w:space="0"/>
            </w:tcBorders>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4</w:t>
            </w:r>
          </w:p>
        </w:tc>
        <w:tc>
          <w:tcPr>
            <w:tcW w:w="2246"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31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资金投入</w:t>
            </w:r>
          </w:p>
        </w:tc>
        <w:tc>
          <w:tcPr>
            <w:tcW w:w="477"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5</w:t>
            </w:r>
          </w:p>
        </w:tc>
        <w:tc>
          <w:tcPr>
            <w:tcW w:w="23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财政衔接资金明确性</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3</w:t>
            </w:r>
          </w:p>
        </w:tc>
        <w:tc>
          <w:tcPr>
            <w:tcW w:w="677" w:type="dxa"/>
            <w:tcBorders>
              <w:top w:val="single" w:color="000000" w:sz="4" w:space="0"/>
              <w:left w:val="single" w:color="000000" w:sz="4" w:space="0"/>
              <w:bottom w:val="single" w:color="000000" w:sz="4" w:space="0"/>
              <w:right w:val="single" w:color="000000" w:sz="4" w:space="0"/>
            </w:tcBorders>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3</w:t>
            </w:r>
          </w:p>
        </w:tc>
        <w:tc>
          <w:tcPr>
            <w:tcW w:w="2246"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3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其他配套资金明确性</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2</w:t>
            </w:r>
          </w:p>
        </w:tc>
        <w:tc>
          <w:tcPr>
            <w:tcW w:w="677" w:type="dxa"/>
            <w:tcBorders>
              <w:top w:val="single" w:color="000000" w:sz="4" w:space="0"/>
              <w:left w:val="single" w:color="000000" w:sz="4" w:space="0"/>
              <w:bottom w:val="single" w:color="000000" w:sz="4" w:space="0"/>
              <w:right w:val="single" w:color="000000" w:sz="4" w:space="0"/>
            </w:tcBorders>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2</w:t>
            </w:r>
          </w:p>
        </w:tc>
        <w:tc>
          <w:tcPr>
            <w:tcW w:w="2246"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过程</w:t>
            </w:r>
          </w:p>
        </w:tc>
        <w:tc>
          <w:tcPr>
            <w:tcW w:w="477"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30</w:t>
            </w:r>
          </w:p>
        </w:tc>
        <w:tc>
          <w:tcPr>
            <w:tcW w:w="131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资金落实</w:t>
            </w:r>
          </w:p>
        </w:tc>
        <w:tc>
          <w:tcPr>
            <w:tcW w:w="477"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6</w:t>
            </w:r>
          </w:p>
        </w:tc>
        <w:tc>
          <w:tcPr>
            <w:tcW w:w="23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资金到位率</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4</w:t>
            </w:r>
          </w:p>
        </w:tc>
        <w:tc>
          <w:tcPr>
            <w:tcW w:w="677" w:type="dxa"/>
            <w:tcBorders>
              <w:top w:val="single" w:color="000000" w:sz="4" w:space="0"/>
              <w:left w:val="single" w:color="000000" w:sz="4" w:space="0"/>
              <w:bottom w:val="single" w:color="000000" w:sz="4" w:space="0"/>
              <w:right w:val="single" w:color="000000" w:sz="4" w:space="0"/>
            </w:tcBorders>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1</w:t>
            </w:r>
          </w:p>
        </w:tc>
        <w:tc>
          <w:tcPr>
            <w:tcW w:w="2246"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14:ligatures w14:val="standardContextual"/>
              </w:rPr>
              <w:t>资金到位率不高</w:t>
            </w: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3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到位及时率</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2</w:t>
            </w:r>
          </w:p>
        </w:tc>
        <w:tc>
          <w:tcPr>
            <w:tcW w:w="677" w:type="dxa"/>
            <w:tcBorders>
              <w:top w:val="single" w:color="000000" w:sz="4" w:space="0"/>
              <w:left w:val="single" w:color="000000" w:sz="4" w:space="0"/>
              <w:bottom w:val="single" w:color="000000" w:sz="4" w:space="0"/>
              <w:right w:val="single" w:color="000000" w:sz="4" w:space="0"/>
            </w:tcBorders>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0</w:t>
            </w:r>
          </w:p>
        </w:tc>
        <w:tc>
          <w:tcPr>
            <w:tcW w:w="2246"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14:ligatures w14:val="standardContextual"/>
              </w:rPr>
              <w:t>资金到位不及时</w:t>
            </w: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31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财务管理</w:t>
            </w:r>
          </w:p>
        </w:tc>
        <w:tc>
          <w:tcPr>
            <w:tcW w:w="477"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9</w:t>
            </w:r>
          </w:p>
        </w:tc>
        <w:tc>
          <w:tcPr>
            <w:tcW w:w="23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资金拨付方式是否规范</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2</w:t>
            </w:r>
          </w:p>
        </w:tc>
        <w:tc>
          <w:tcPr>
            <w:tcW w:w="677" w:type="dxa"/>
            <w:tcBorders>
              <w:top w:val="single" w:color="000000" w:sz="4" w:space="0"/>
              <w:left w:val="single" w:color="000000" w:sz="4" w:space="0"/>
              <w:bottom w:val="single" w:color="000000" w:sz="4" w:space="0"/>
              <w:right w:val="single" w:color="000000" w:sz="4" w:space="0"/>
            </w:tcBorders>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2</w:t>
            </w:r>
          </w:p>
        </w:tc>
        <w:tc>
          <w:tcPr>
            <w:tcW w:w="2246"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3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资金使用合规性</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4</w:t>
            </w:r>
          </w:p>
        </w:tc>
        <w:tc>
          <w:tcPr>
            <w:tcW w:w="677" w:type="dxa"/>
            <w:tcBorders>
              <w:top w:val="single" w:color="000000" w:sz="4" w:space="0"/>
              <w:left w:val="single" w:color="000000" w:sz="4" w:space="0"/>
              <w:bottom w:val="single" w:color="000000" w:sz="4" w:space="0"/>
              <w:right w:val="single" w:color="000000" w:sz="4" w:space="0"/>
            </w:tcBorders>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4</w:t>
            </w:r>
          </w:p>
        </w:tc>
        <w:tc>
          <w:tcPr>
            <w:tcW w:w="2246"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3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财务监控有效性</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3</w:t>
            </w:r>
          </w:p>
        </w:tc>
        <w:tc>
          <w:tcPr>
            <w:tcW w:w="677" w:type="dxa"/>
            <w:tcBorders>
              <w:top w:val="single" w:color="000000" w:sz="4" w:space="0"/>
              <w:left w:val="single" w:color="000000" w:sz="4" w:space="0"/>
              <w:bottom w:val="single" w:color="000000" w:sz="4" w:space="0"/>
              <w:right w:val="single" w:color="000000" w:sz="4" w:space="0"/>
            </w:tcBorders>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3</w:t>
            </w:r>
          </w:p>
        </w:tc>
        <w:tc>
          <w:tcPr>
            <w:tcW w:w="2246"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31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业务管理</w:t>
            </w:r>
          </w:p>
        </w:tc>
        <w:tc>
          <w:tcPr>
            <w:tcW w:w="477"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12</w:t>
            </w:r>
          </w:p>
        </w:tc>
        <w:tc>
          <w:tcPr>
            <w:tcW w:w="23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管理制度健全性</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4</w:t>
            </w:r>
          </w:p>
        </w:tc>
        <w:tc>
          <w:tcPr>
            <w:tcW w:w="677" w:type="dxa"/>
            <w:tcBorders>
              <w:top w:val="single" w:color="000000" w:sz="4" w:space="0"/>
              <w:left w:val="single" w:color="000000" w:sz="4" w:space="0"/>
              <w:bottom w:val="single" w:color="000000" w:sz="4" w:space="0"/>
              <w:right w:val="single" w:color="000000" w:sz="4" w:space="0"/>
            </w:tcBorders>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3</w:t>
            </w:r>
          </w:p>
        </w:tc>
        <w:tc>
          <w:tcPr>
            <w:tcW w:w="2246"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color w:val="auto"/>
                <w:sz w:val="20"/>
                <w:szCs w:val="20"/>
                <w:highlight w:val="none"/>
              </w:rPr>
            </w:pPr>
            <w:r>
              <w:rPr>
                <w:rFonts w:hint="eastAsia" w:ascii="宋体" w:hAnsi="宋体" w:cs="宋体"/>
                <w:color w:val="auto"/>
                <w:kern w:val="0"/>
                <w:sz w:val="20"/>
                <w:szCs w:val="20"/>
                <w:highlight w:val="none"/>
                <w:lang w:bidi="ar"/>
                <w14:ligatures w14:val="standardContextual"/>
              </w:rPr>
              <w:t>未实行监理和结算审计</w:t>
            </w: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3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制度执行有效性</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4</w:t>
            </w:r>
          </w:p>
        </w:tc>
        <w:tc>
          <w:tcPr>
            <w:tcW w:w="677" w:type="dxa"/>
            <w:tcBorders>
              <w:top w:val="single" w:color="000000" w:sz="4" w:space="0"/>
              <w:left w:val="single" w:color="000000" w:sz="4" w:space="0"/>
              <w:bottom w:val="single" w:color="000000" w:sz="4" w:space="0"/>
              <w:right w:val="single" w:color="000000" w:sz="4" w:space="0"/>
            </w:tcBorders>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3</w:t>
            </w:r>
          </w:p>
        </w:tc>
        <w:tc>
          <w:tcPr>
            <w:tcW w:w="2246"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color w:val="auto"/>
                <w:sz w:val="20"/>
                <w:szCs w:val="20"/>
                <w:highlight w:val="none"/>
              </w:rPr>
            </w:pPr>
            <w:r>
              <w:rPr>
                <w:rFonts w:hint="eastAsia" w:ascii="宋体" w:hAnsi="宋体" w:cs="宋体"/>
                <w:color w:val="auto"/>
                <w:kern w:val="0"/>
                <w:sz w:val="20"/>
                <w:szCs w:val="20"/>
                <w:highlight w:val="none"/>
                <w:lang w:bidi="ar"/>
                <w14:ligatures w14:val="standardContextual"/>
              </w:rPr>
              <w:t>未实行监理和结算审计</w:t>
            </w: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3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项目质量可控性</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4</w:t>
            </w:r>
          </w:p>
        </w:tc>
        <w:tc>
          <w:tcPr>
            <w:tcW w:w="677" w:type="dxa"/>
            <w:tcBorders>
              <w:top w:val="single" w:color="000000" w:sz="4" w:space="0"/>
              <w:left w:val="single" w:color="000000" w:sz="4" w:space="0"/>
              <w:bottom w:val="single" w:color="000000" w:sz="4" w:space="0"/>
              <w:right w:val="single" w:color="000000" w:sz="4" w:space="0"/>
            </w:tcBorders>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3</w:t>
            </w:r>
          </w:p>
        </w:tc>
        <w:tc>
          <w:tcPr>
            <w:tcW w:w="2246"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color w:val="auto"/>
                <w:sz w:val="20"/>
                <w:szCs w:val="20"/>
                <w:highlight w:val="none"/>
              </w:rPr>
            </w:pPr>
            <w:r>
              <w:rPr>
                <w:rFonts w:hint="eastAsia" w:ascii="宋体" w:hAnsi="宋体" w:cs="宋体"/>
                <w:color w:val="auto"/>
                <w:kern w:val="0"/>
                <w:sz w:val="20"/>
                <w:szCs w:val="20"/>
                <w:highlight w:val="none"/>
                <w:lang w:bidi="ar"/>
                <w14:ligatures w14:val="standardContextual"/>
              </w:rPr>
              <w:t>未实行监理和结算审计</w:t>
            </w: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auto"/>
                <w:sz w:val="20"/>
                <w:szCs w:val="20"/>
                <w:highlight w:val="none"/>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档案管理</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3</w:t>
            </w:r>
          </w:p>
        </w:tc>
        <w:tc>
          <w:tcPr>
            <w:tcW w:w="23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档案规范性</w:t>
            </w:r>
          </w:p>
        </w:tc>
        <w:tc>
          <w:tcPr>
            <w:tcW w:w="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auto"/>
                <w:sz w:val="20"/>
                <w:szCs w:val="20"/>
                <w:highlight w:val="none"/>
              </w:rPr>
            </w:pPr>
            <w:r>
              <w:rPr>
                <w:rFonts w:ascii="楷体_GB2312" w:hAnsi="宋体" w:eastAsia="楷体_GB2312" w:cs="楷体_GB2312"/>
                <w:color w:val="auto"/>
                <w:kern w:val="0"/>
                <w:sz w:val="20"/>
                <w:szCs w:val="20"/>
                <w:highlight w:val="none"/>
                <w:lang w:bidi="ar"/>
              </w:rPr>
              <w:t>3</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1</w:t>
            </w:r>
          </w:p>
        </w:tc>
        <w:tc>
          <w:tcPr>
            <w:tcW w:w="2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未完工，资料收集不到位</w:t>
            </w:r>
          </w:p>
        </w:tc>
      </w:tr>
      <w:tr>
        <w:tblPrEx>
          <w:tblCellMar>
            <w:top w:w="0" w:type="dxa"/>
            <w:left w:w="108" w:type="dxa"/>
            <w:bottom w:w="0" w:type="dxa"/>
            <w:right w:w="108" w:type="dxa"/>
          </w:tblCellMar>
        </w:tblPrEx>
        <w:trPr>
          <w:trHeight w:val="288" w:hRule="atLeast"/>
        </w:trPr>
        <w:tc>
          <w:tcPr>
            <w:tcW w:w="52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产出</w:t>
            </w:r>
          </w:p>
        </w:tc>
        <w:tc>
          <w:tcPr>
            <w:tcW w:w="477"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25</w:t>
            </w:r>
          </w:p>
        </w:tc>
        <w:tc>
          <w:tcPr>
            <w:tcW w:w="131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目标完成情况</w:t>
            </w:r>
          </w:p>
        </w:tc>
        <w:tc>
          <w:tcPr>
            <w:tcW w:w="477"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18</w:t>
            </w:r>
          </w:p>
        </w:tc>
        <w:tc>
          <w:tcPr>
            <w:tcW w:w="23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产出数量</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7</w:t>
            </w:r>
          </w:p>
        </w:tc>
        <w:tc>
          <w:tcPr>
            <w:tcW w:w="677" w:type="dxa"/>
            <w:tcBorders>
              <w:top w:val="single" w:color="000000" w:sz="4" w:space="0"/>
              <w:left w:val="single" w:color="000000" w:sz="4" w:space="0"/>
              <w:bottom w:val="single" w:color="000000" w:sz="4" w:space="0"/>
              <w:right w:val="single" w:color="000000" w:sz="4" w:space="0"/>
            </w:tcBorders>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3</w:t>
            </w:r>
          </w:p>
        </w:tc>
        <w:tc>
          <w:tcPr>
            <w:tcW w:w="2246"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auto"/>
                <w:sz w:val="20"/>
                <w:szCs w:val="20"/>
                <w:highlight w:val="none"/>
              </w:rPr>
            </w:pPr>
            <w:r>
              <w:rPr>
                <w:rFonts w:hint="eastAsia" w:ascii="宋体" w:hAnsi="宋体" w:cs="宋体"/>
                <w:color w:val="auto"/>
                <w:sz w:val="20"/>
                <w:szCs w:val="20"/>
                <w:highlight w:val="none"/>
              </w:rPr>
              <w:t>未及时完工</w:t>
            </w: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3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产出质量</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6</w:t>
            </w:r>
          </w:p>
        </w:tc>
        <w:tc>
          <w:tcPr>
            <w:tcW w:w="677" w:type="dxa"/>
            <w:tcBorders>
              <w:top w:val="single" w:color="000000" w:sz="4" w:space="0"/>
              <w:left w:val="single" w:color="000000" w:sz="4" w:space="0"/>
              <w:bottom w:val="single" w:color="000000" w:sz="4" w:space="0"/>
              <w:right w:val="single" w:color="000000" w:sz="4" w:space="0"/>
            </w:tcBorders>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3</w:t>
            </w:r>
          </w:p>
        </w:tc>
        <w:tc>
          <w:tcPr>
            <w:tcW w:w="2246"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sz w:val="20"/>
                <w:szCs w:val="20"/>
                <w:highlight w:val="none"/>
              </w:rPr>
              <w:t>未及时完工</w:t>
            </w: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3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产出时效（项目完成及时率）</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5</w:t>
            </w:r>
          </w:p>
        </w:tc>
        <w:tc>
          <w:tcPr>
            <w:tcW w:w="677" w:type="dxa"/>
            <w:tcBorders>
              <w:top w:val="single" w:color="000000" w:sz="4" w:space="0"/>
              <w:left w:val="single" w:color="000000" w:sz="4" w:space="0"/>
              <w:bottom w:val="single" w:color="000000" w:sz="4" w:space="0"/>
              <w:right w:val="single" w:color="000000" w:sz="4" w:space="0"/>
            </w:tcBorders>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2</w:t>
            </w:r>
          </w:p>
        </w:tc>
        <w:tc>
          <w:tcPr>
            <w:tcW w:w="2246"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auto"/>
                <w:sz w:val="20"/>
                <w:szCs w:val="20"/>
                <w:highlight w:val="none"/>
              </w:rPr>
            </w:pPr>
            <w:r>
              <w:rPr>
                <w:rFonts w:hint="eastAsia" w:ascii="宋体" w:hAnsi="宋体" w:cs="宋体"/>
                <w:color w:val="auto"/>
                <w:sz w:val="20"/>
                <w:szCs w:val="20"/>
                <w:highlight w:val="none"/>
              </w:rPr>
              <w:t>未及时完工</w:t>
            </w: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31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资金使用情况</w:t>
            </w:r>
          </w:p>
        </w:tc>
        <w:tc>
          <w:tcPr>
            <w:tcW w:w="477"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7</w:t>
            </w:r>
          </w:p>
        </w:tc>
        <w:tc>
          <w:tcPr>
            <w:tcW w:w="23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资金使用率</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4</w:t>
            </w:r>
          </w:p>
        </w:tc>
        <w:tc>
          <w:tcPr>
            <w:tcW w:w="677" w:type="dxa"/>
            <w:tcBorders>
              <w:top w:val="single" w:color="000000" w:sz="4" w:space="0"/>
              <w:left w:val="single" w:color="000000" w:sz="4" w:space="0"/>
              <w:bottom w:val="single" w:color="000000" w:sz="4" w:space="0"/>
              <w:right w:val="single" w:color="000000" w:sz="4" w:space="0"/>
            </w:tcBorders>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2</w:t>
            </w:r>
          </w:p>
        </w:tc>
        <w:tc>
          <w:tcPr>
            <w:tcW w:w="2246"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sz w:val="20"/>
                <w:szCs w:val="20"/>
                <w:highlight w:val="none"/>
              </w:rPr>
              <w:t>只拨付61.2万元</w:t>
            </w: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auto"/>
                <w:sz w:val="20"/>
                <w:szCs w:val="20"/>
                <w:highlight w:val="none"/>
              </w:rPr>
            </w:pPr>
          </w:p>
        </w:tc>
        <w:tc>
          <w:tcPr>
            <w:tcW w:w="236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成本节约率</w:t>
            </w: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3</w:t>
            </w:r>
          </w:p>
        </w:tc>
        <w:tc>
          <w:tcPr>
            <w:tcW w:w="677" w:type="dxa"/>
            <w:tcBorders>
              <w:top w:val="single" w:color="000000" w:sz="4" w:space="0"/>
              <w:left w:val="single" w:color="000000" w:sz="4" w:space="0"/>
              <w:bottom w:val="single" w:color="000000" w:sz="4" w:space="0"/>
              <w:right w:val="single" w:color="000000" w:sz="4" w:space="0"/>
            </w:tcBorders>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0</w:t>
            </w:r>
          </w:p>
        </w:tc>
        <w:tc>
          <w:tcPr>
            <w:tcW w:w="2246" w:type="dxa"/>
            <w:tcBorders>
              <w:top w:val="single" w:color="000000" w:sz="4" w:space="0"/>
              <w:left w:val="single" w:color="000000" w:sz="4" w:space="0"/>
              <w:bottom w:val="single" w:color="000000" w:sz="4" w:space="0"/>
              <w:right w:val="single" w:color="000000" w:sz="4" w:space="0"/>
            </w:tcBorders>
            <w:noWrap/>
            <w:vAlign w:val="center"/>
          </w:tcPr>
          <w:p>
            <w:pP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未结算审计，总成本不确定</w:t>
            </w:r>
          </w:p>
        </w:tc>
      </w:tr>
      <w:tr>
        <w:tblPrEx>
          <w:tblCellMar>
            <w:top w:w="0" w:type="dxa"/>
            <w:left w:w="108" w:type="dxa"/>
            <w:bottom w:w="0" w:type="dxa"/>
            <w:right w:w="108" w:type="dxa"/>
          </w:tblCellMar>
        </w:tblPrEx>
        <w:trPr>
          <w:trHeight w:val="288" w:hRule="atLeast"/>
        </w:trPr>
        <w:tc>
          <w:tcPr>
            <w:tcW w:w="5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0"/>
                <w:szCs w:val="20"/>
                <w:highlight w:val="none"/>
                <w:lang w:bidi="ar"/>
              </w:rPr>
              <w:t>效果</w:t>
            </w:r>
          </w:p>
        </w:tc>
        <w:tc>
          <w:tcPr>
            <w:tcW w:w="47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27</w:t>
            </w:r>
          </w:p>
        </w:tc>
        <w:tc>
          <w:tcPr>
            <w:tcW w:w="131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楷体_GB2312" w:hAnsi="宋体" w:eastAsia="楷体_GB2312" w:cs="楷体_GB2312"/>
                <w:color w:val="auto"/>
                <w:kern w:val="0"/>
                <w:sz w:val="20"/>
                <w:szCs w:val="20"/>
                <w:highlight w:val="none"/>
                <w:lang w:eastAsia="zh-CN" w:bidi="ar"/>
              </w:rPr>
            </w:pPr>
            <w:r>
              <w:rPr>
                <w:rFonts w:ascii="楷体_GB2312" w:hAnsi="宋体" w:eastAsia="楷体_GB2312" w:cs="楷体_GB2312"/>
                <w:color w:val="auto"/>
                <w:kern w:val="0"/>
                <w:sz w:val="20"/>
                <w:szCs w:val="20"/>
                <w:highlight w:val="none"/>
                <w:lang w:bidi="ar"/>
              </w:rPr>
              <w:t>社会经</w:t>
            </w:r>
          </w:p>
          <w:p>
            <w:pPr>
              <w:widowControl/>
              <w:jc w:val="center"/>
              <w:textAlignment w:val="center"/>
              <w:rPr>
                <w:rFonts w:ascii="楷体_GB2312" w:hAnsi="宋体" w:eastAsia="楷体_GB2312" w:cs="楷体_GB2312"/>
                <w:color w:val="auto"/>
                <w:sz w:val="20"/>
                <w:szCs w:val="20"/>
                <w:highlight w:val="none"/>
              </w:rPr>
            </w:pPr>
            <w:r>
              <w:rPr>
                <w:rFonts w:ascii="楷体_GB2312" w:hAnsi="宋体" w:eastAsia="楷体_GB2312" w:cs="楷体_GB2312"/>
                <w:color w:val="auto"/>
                <w:kern w:val="0"/>
                <w:sz w:val="20"/>
                <w:szCs w:val="20"/>
                <w:highlight w:val="none"/>
                <w:lang w:bidi="ar"/>
              </w:rPr>
              <w:t>济效益</w:t>
            </w:r>
          </w:p>
        </w:tc>
        <w:tc>
          <w:tcPr>
            <w:tcW w:w="47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auto"/>
                <w:sz w:val="20"/>
                <w:szCs w:val="20"/>
                <w:highlight w:val="none"/>
              </w:rPr>
            </w:pPr>
            <w:r>
              <w:rPr>
                <w:rFonts w:ascii="楷体_GB2312" w:hAnsi="宋体" w:eastAsia="楷体_GB2312" w:cs="楷体_GB2312"/>
                <w:color w:val="auto"/>
                <w:kern w:val="0"/>
                <w:sz w:val="20"/>
                <w:szCs w:val="20"/>
                <w:highlight w:val="none"/>
                <w:lang w:bidi="ar"/>
              </w:rPr>
              <w:t>17</w:t>
            </w:r>
          </w:p>
        </w:tc>
        <w:tc>
          <w:tcPr>
            <w:tcW w:w="23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经济效益</w:t>
            </w:r>
          </w:p>
        </w:tc>
        <w:tc>
          <w:tcPr>
            <w:tcW w:w="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auto"/>
                <w:sz w:val="20"/>
                <w:szCs w:val="20"/>
                <w:highlight w:val="none"/>
              </w:rPr>
            </w:pPr>
            <w:r>
              <w:rPr>
                <w:rFonts w:ascii="楷体_GB2312" w:hAnsi="宋体" w:eastAsia="楷体_GB2312" w:cs="楷体_GB2312"/>
                <w:color w:val="auto"/>
                <w:kern w:val="0"/>
                <w:sz w:val="20"/>
                <w:szCs w:val="20"/>
                <w:highlight w:val="none"/>
                <w:lang w:bidi="ar"/>
              </w:rPr>
              <w:t>5</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5</w:t>
            </w:r>
          </w:p>
        </w:tc>
        <w:tc>
          <w:tcPr>
            <w:tcW w:w="2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auto"/>
                <w:sz w:val="20"/>
                <w:szCs w:val="20"/>
                <w:highlight w:val="none"/>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auto"/>
                <w:sz w:val="20"/>
                <w:szCs w:val="20"/>
                <w:highlight w:val="none"/>
              </w:rPr>
            </w:pPr>
          </w:p>
        </w:tc>
        <w:tc>
          <w:tcPr>
            <w:tcW w:w="23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社会效益</w:t>
            </w:r>
          </w:p>
        </w:tc>
        <w:tc>
          <w:tcPr>
            <w:tcW w:w="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auto"/>
                <w:sz w:val="20"/>
                <w:szCs w:val="20"/>
                <w:highlight w:val="none"/>
              </w:rPr>
            </w:pPr>
            <w:r>
              <w:rPr>
                <w:rFonts w:ascii="楷体_GB2312" w:hAnsi="宋体" w:eastAsia="楷体_GB2312" w:cs="楷体_GB2312"/>
                <w:color w:val="auto"/>
                <w:kern w:val="0"/>
                <w:sz w:val="20"/>
                <w:szCs w:val="20"/>
                <w:highlight w:val="none"/>
                <w:lang w:bidi="ar"/>
              </w:rPr>
              <w:t>4</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4</w:t>
            </w:r>
          </w:p>
        </w:tc>
        <w:tc>
          <w:tcPr>
            <w:tcW w:w="2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auto"/>
                <w:sz w:val="20"/>
                <w:szCs w:val="20"/>
                <w:highlight w:val="none"/>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auto"/>
                <w:sz w:val="20"/>
                <w:szCs w:val="20"/>
                <w:highlight w:val="none"/>
              </w:rPr>
            </w:pPr>
          </w:p>
        </w:tc>
        <w:tc>
          <w:tcPr>
            <w:tcW w:w="23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生态效益</w:t>
            </w:r>
          </w:p>
        </w:tc>
        <w:tc>
          <w:tcPr>
            <w:tcW w:w="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auto"/>
                <w:sz w:val="20"/>
                <w:szCs w:val="20"/>
                <w:highlight w:val="none"/>
              </w:rPr>
            </w:pPr>
            <w:r>
              <w:rPr>
                <w:rFonts w:ascii="楷体_GB2312" w:hAnsi="宋体" w:eastAsia="楷体_GB2312" w:cs="楷体_GB2312"/>
                <w:color w:val="auto"/>
                <w:kern w:val="0"/>
                <w:sz w:val="20"/>
                <w:szCs w:val="20"/>
                <w:highlight w:val="none"/>
                <w:lang w:bidi="ar"/>
              </w:rPr>
              <w:t>4</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4</w:t>
            </w:r>
          </w:p>
        </w:tc>
        <w:tc>
          <w:tcPr>
            <w:tcW w:w="2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auto"/>
                <w:sz w:val="20"/>
                <w:szCs w:val="20"/>
                <w:highlight w:val="none"/>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auto"/>
                <w:sz w:val="20"/>
                <w:szCs w:val="20"/>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auto"/>
                <w:sz w:val="20"/>
                <w:szCs w:val="20"/>
                <w:highlight w:val="none"/>
              </w:rPr>
            </w:pPr>
          </w:p>
        </w:tc>
        <w:tc>
          <w:tcPr>
            <w:tcW w:w="23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服务对象满意度</w:t>
            </w:r>
          </w:p>
        </w:tc>
        <w:tc>
          <w:tcPr>
            <w:tcW w:w="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auto"/>
                <w:sz w:val="20"/>
                <w:szCs w:val="20"/>
                <w:highlight w:val="none"/>
              </w:rPr>
            </w:pPr>
            <w:r>
              <w:rPr>
                <w:rFonts w:ascii="楷体_GB2312" w:hAnsi="宋体" w:eastAsia="楷体_GB2312" w:cs="楷体_GB2312"/>
                <w:color w:val="auto"/>
                <w:kern w:val="0"/>
                <w:sz w:val="20"/>
                <w:szCs w:val="20"/>
                <w:highlight w:val="none"/>
                <w:lang w:bidi="ar"/>
              </w:rPr>
              <w:t>4</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4</w:t>
            </w:r>
          </w:p>
        </w:tc>
        <w:tc>
          <w:tcPr>
            <w:tcW w:w="2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auto"/>
                <w:sz w:val="20"/>
                <w:szCs w:val="20"/>
                <w:highlight w:val="none"/>
              </w:rPr>
            </w:pPr>
          </w:p>
        </w:tc>
        <w:tc>
          <w:tcPr>
            <w:tcW w:w="131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楷体_GB2312" w:hAnsi="宋体" w:eastAsia="楷体_GB2312" w:cs="楷体_GB2312"/>
                <w:color w:val="auto"/>
                <w:kern w:val="0"/>
                <w:sz w:val="20"/>
                <w:szCs w:val="20"/>
                <w:highlight w:val="none"/>
                <w:lang w:eastAsia="zh-CN" w:bidi="ar"/>
              </w:rPr>
            </w:pPr>
            <w:r>
              <w:rPr>
                <w:rFonts w:ascii="楷体_GB2312" w:hAnsi="宋体" w:eastAsia="楷体_GB2312" w:cs="楷体_GB2312"/>
                <w:color w:val="auto"/>
                <w:kern w:val="0"/>
                <w:sz w:val="20"/>
                <w:szCs w:val="20"/>
                <w:highlight w:val="none"/>
                <w:lang w:bidi="ar"/>
              </w:rPr>
              <w:t>可持续</w:t>
            </w:r>
          </w:p>
          <w:p>
            <w:pPr>
              <w:widowControl/>
              <w:jc w:val="center"/>
              <w:textAlignment w:val="center"/>
              <w:rPr>
                <w:rFonts w:ascii="楷体_GB2312" w:hAnsi="宋体" w:eastAsia="楷体_GB2312" w:cs="楷体_GB2312"/>
                <w:color w:val="auto"/>
                <w:sz w:val="20"/>
                <w:szCs w:val="20"/>
                <w:highlight w:val="none"/>
              </w:rPr>
            </w:pPr>
            <w:r>
              <w:rPr>
                <w:rFonts w:ascii="楷体_GB2312" w:hAnsi="宋体" w:eastAsia="楷体_GB2312" w:cs="楷体_GB2312"/>
                <w:color w:val="auto"/>
                <w:kern w:val="0"/>
                <w:sz w:val="20"/>
                <w:szCs w:val="20"/>
                <w:highlight w:val="none"/>
                <w:lang w:bidi="ar"/>
              </w:rPr>
              <w:t>影响</w:t>
            </w:r>
          </w:p>
        </w:tc>
        <w:tc>
          <w:tcPr>
            <w:tcW w:w="4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auto"/>
                <w:sz w:val="20"/>
                <w:szCs w:val="20"/>
                <w:highlight w:val="none"/>
              </w:rPr>
            </w:pPr>
            <w:r>
              <w:rPr>
                <w:rFonts w:ascii="楷体_GB2312" w:hAnsi="宋体" w:eastAsia="楷体_GB2312" w:cs="楷体_GB2312"/>
                <w:color w:val="auto"/>
                <w:kern w:val="0"/>
                <w:sz w:val="20"/>
                <w:szCs w:val="20"/>
                <w:highlight w:val="none"/>
                <w:lang w:bidi="ar"/>
              </w:rPr>
              <w:t>7</w:t>
            </w:r>
          </w:p>
        </w:tc>
        <w:tc>
          <w:tcPr>
            <w:tcW w:w="23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建后经营管理</w:t>
            </w:r>
          </w:p>
        </w:tc>
        <w:tc>
          <w:tcPr>
            <w:tcW w:w="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auto"/>
                <w:sz w:val="20"/>
                <w:szCs w:val="20"/>
                <w:highlight w:val="none"/>
              </w:rPr>
            </w:pPr>
            <w:r>
              <w:rPr>
                <w:rFonts w:ascii="楷体_GB2312" w:hAnsi="宋体" w:eastAsia="楷体_GB2312" w:cs="楷体_GB2312"/>
                <w:color w:val="auto"/>
                <w:kern w:val="0"/>
                <w:sz w:val="20"/>
                <w:szCs w:val="20"/>
                <w:highlight w:val="none"/>
                <w:lang w:bidi="ar"/>
              </w:rPr>
              <w:t>7</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5</w:t>
            </w:r>
          </w:p>
        </w:tc>
        <w:tc>
          <w:tcPr>
            <w:tcW w:w="2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auto"/>
                <w:sz w:val="20"/>
                <w:szCs w:val="20"/>
                <w:highlight w:val="none"/>
              </w:rPr>
            </w:pPr>
            <w:r>
              <w:rPr>
                <w:rFonts w:hint="eastAsia" w:ascii="宋体" w:hAnsi="宋体" w:cs="宋体"/>
                <w:color w:val="auto"/>
                <w:kern w:val="0"/>
                <w:sz w:val="20"/>
                <w:szCs w:val="20"/>
                <w:highlight w:val="none"/>
                <w:lang w:bidi="ar"/>
                <w14:ligatures w14:val="standardContextual"/>
              </w:rPr>
              <w:t>未见承包或者管护合同</w:t>
            </w:r>
          </w:p>
        </w:tc>
      </w:tr>
      <w:tr>
        <w:tblPrEx>
          <w:tblCellMar>
            <w:top w:w="0" w:type="dxa"/>
            <w:left w:w="108" w:type="dxa"/>
            <w:bottom w:w="0" w:type="dxa"/>
            <w:right w:w="108" w:type="dxa"/>
          </w:tblCellMar>
        </w:tblPrEx>
        <w:trPr>
          <w:trHeight w:val="288" w:hRule="atLeast"/>
        </w:trPr>
        <w:tc>
          <w:tcPr>
            <w:tcW w:w="5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auto"/>
                <w:sz w:val="24"/>
                <w:highlight w:val="none"/>
              </w:rPr>
            </w:pPr>
          </w:p>
        </w:tc>
        <w:tc>
          <w:tcPr>
            <w:tcW w:w="47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auto"/>
                <w:sz w:val="20"/>
                <w:szCs w:val="20"/>
                <w:highlight w:val="none"/>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hAnsi="宋体" w:eastAsia="楷体_GB2312" w:cs="楷体_GB2312"/>
                <w:color w:val="auto"/>
                <w:sz w:val="20"/>
                <w:szCs w:val="20"/>
                <w:highlight w:val="none"/>
              </w:rPr>
            </w:pPr>
          </w:p>
        </w:tc>
        <w:tc>
          <w:tcPr>
            <w:tcW w:w="4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auto"/>
                <w:sz w:val="20"/>
                <w:szCs w:val="20"/>
                <w:highlight w:val="none"/>
              </w:rPr>
            </w:pPr>
            <w:r>
              <w:rPr>
                <w:rFonts w:ascii="楷体_GB2312" w:hAnsi="宋体" w:eastAsia="楷体_GB2312" w:cs="楷体_GB2312"/>
                <w:color w:val="auto"/>
                <w:kern w:val="0"/>
                <w:sz w:val="20"/>
                <w:szCs w:val="20"/>
                <w:highlight w:val="none"/>
                <w:lang w:bidi="ar"/>
              </w:rPr>
              <w:t>3</w:t>
            </w:r>
          </w:p>
        </w:tc>
        <w:tc>
          <w:tcPr>
            <w:tcW w:w="23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群众满意度</w:t>
            </w:r>
          </w:p>
        </w:tc>
        <w:tc>
          <w:tcPr>
            <w:tcW w:w="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楷体_GB2312" w:hAnsi="宋体" w:eastAsia="楷体_GB2312" w:cs="楷体_GB2312"/>
                <w:color w:val="auto"/>
                <w:sz w:val="20"/>
                <w:szCs w:val="20"/>
                <w:highlight w:val="none"/>
              </w:rPr>
            </w:pPr>
            <w:r>
              <w:rPr>
                <w:rFonts w:ascii="楷体_GB2312" w:hAnsi="宋体" w:eastAsia="楷体_GB2312" w:cs="楷体_GB2312"/>
                <w:color w:val="auto"/>
                <w:kern w:val="0"/>
                <w:sz w:val="20"/>
                <w:szCs w:val="20"/>
                <w:highlight w:val="none"/>
                <w:lang w:bidi="ar"/>
              </w:rPr>
              <w:t>3</w:t>
            </w:r>
          </w:p>
        </w:tc>
        <w:tc>
          <w:tcPr>
            <w:tcW w:w="6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3</w:t>
            </w:r>
          </w:p>
        </w:tc>
        <w:tc>
          <w:tcPr>
            <w:tcW w:w="22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ascii="宋体" w:hAnsi="宋体" w:cs="宋体"/>
                <w:color w:val="auto"/>
                <w:sz w:val="20"/>
                <w:szCs w:val="20"/>
                <w:highlight w:val="none"/>
              </w:rPr>
            </w:pPr>
          </w:p>
        </w:tc>
      </w:tr>
      <w:tr>
        <w:tblPrEx>
          <w:tblCellMar>
            <w:top w:w="0" w:type="dxa"/>
            <w:left w:w="108" w:type="dxa"/>
            <w:bottom w:w="0" w:type="dxa"/>
            <w:right w:w="108" w:type="dxa"/>
          </w:tblCellMar>
        </w:tblPrEx>
        <w:trPr>
          <w:trHeight w:val="288"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总分</w:t>
            </w:r>
          </w:p>
        </w:tc>
        <w:tc>
          <w:tcPr>
            <w:tcW w:w="4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100</w:t>
            </w:r>
          </w:p>
        </w:tc>
        <w:tc>
          <w:tcPr>
            <w:tcW w:w="1319"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auto"/>
                <w:sz w:val="20"/>
                <w:szCs w:val="20"/>
                <w:highlight w:val="none"/>
              </w:rPr>
            </w:pPr>
          </w:p>
        </w:tc>
        <w:tc>
          <w:tcPr>
            <w:tcW w:w="47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100</w:t>
            </w:r>
          </w:p>
        </w:tc>
        <w:tc>
          <w:tcPr>
            <w:tcW w:w="2366" w:type="dxa"/>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auto"/>
                <w:sz w:val="20"/>
                <w:szCs w:val="20"/>
                <w:highlight w:val="none"/>
              </w:rPr>
            </w:pPr>
          </w:p>
        </w:tc>
        <w:tc>
          <w:tcPr>
            <w:tcW w:w="617"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auto"/>
                <w:sz w:val="20"/>
                <w:szCs w:val="20"/>
                <w:highlight w:val="none"/>
              </w:rPr>
            </w:pPr>
            <w:r>
              <w:rPr>
                <w:rFonts w:hint="eastAsia" w:ascii="宋体" w:hAnsi="宋体" w:cs="宋体"/>
                <w:color w:val="auto"/>
                <w:kern w:val="0"/>
                <w:sz w:val="20"/>
                <w:szCs w:val="20"/>
                <w:highlight w:val="none"/>
                <w:lang w:bidi="ar"/>
              </w:rPr>
              <w:t>100</w:t>
            </w:r>
          </w:p>
        </w:tc>
        <w:tc>
          <w:tcPr>
            <w:tcW w:w="677" w:type="dxa"/>
            <w:tcBorders>
              <w:top w:val="single" w:color="000000" w:sz="4" w:space="0"/>
              <w:left w:val="single" w:color="000000" w:sz="4" w:space="0"/>
              <w:bottom w:val="single" w:color="000000" w:sz="4" w:space="0"/>
              <w:right w:val="single" w:color="000000" w:sz="4" w:space="0"/>
            </w:tcBorders>
            <w:noWrap/>
            <w:vAlign w:val="center"/>
          </w:tcPr>
          <w:p>
            <w:pPr>
              <w:widowControl/>
              <w:jc w:val="right"/>
              <w:textAlignment w:val="center"/>
              <w:rPr>
                <w:color w:val="auto"/>
                <w:highlight w:val="none"/>
              </w:rPr>
            </w:pPr>
            <w:r>
              <w:rPr>
                <w:rFonts w:hint="eastAsia" w:ascii="宋体" w:hAnsi="宋体" w:cs="宋体"/>
                <w:color w:val="auto"/>
                <w:kern w:val="0"/>
                <w:sz w:val="20"/>
                <w:szCs w:val="20"/>
                <w:highlight w:val="none"/>
                <w:lang w:bidi="ar"/>
              </w:rPr>
              <w:t>73</w:t>
            </w:r>
          </w:p>
        </w:tc>
        <w:tc>
          <w:tcPr>
            <w:tcW w:w="2246" w:type="dxa"/>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auto"/>
                <w:sz w:val="20"/>
                <w:szCs w:val="20"/>
                <w:highlight w:val="none"/>
              </w:rPr>
            </w:pPr>
          </w:p>
        </w:tc>
      </w:tr>
    </w:tbl>
    <w:p>
      <w:pPr>
        <w:spacing w:line="300" w:lineRule="auto"/>
        <w:ind w:firstLine="562" w:firstLineChars="200"/>
        <w:outlineLvl w:val="0"/>
        <w:rPr>
          <w:rFonts w:ascii="宋体" w:hAnsi="宋体" w:cs="宋体"/>
          <w:b/>
          <w:color w:val="auto"/>
          <w:kern w:val="0"/>
          <w:sz w:val="28"/>
          <w:szCs w:val="28"/>
          <w:highlight w:val="none"/>
        </w:rPr>
      </w:pPr>
    </w:p>
    <w:p>
      <w:pPr>
        <w:ind w:firstLine="562" w:firstLineChars="200"/>
        <w:rPr>
          <w:color w:val="auto"/>
          <w:sz w:val="28"/>
          <w:szCs w:val="28"/>
          <w:highlight w:val="none"/>
        </w:rPr>
      </w:pPr>
      <w:r>
        <w:rPr>
          <w:rFonts w:hint="eastAsia" w:ascii="宋体" w:hAnsi="宋体" w:cs="宋体"/>
          <w:b/>
          <w:bCs/>
          <w:color w:val="auto"/>
          <w:kern w:val="0"/>
          <w:sz w:val="28"/>
          <w:szCs w:val="28"/>
          <w:highlight w:val="none"/>
        </w:rPr>
        <w:t>（二）</w:t>
      </w:r>
      <w:r>
        <w:rPr>
          <w:rFonts w:hint="eastAsia"/>
          <w:b/>
          <w:bCs/>
          <w:color w:val="auto"/>
          <w:sz w:val="28"/>
          <w:szCs w:val="28"/>
          <w:highlight w:val="none"/>
        </w:rPr>
        <w:t>主要结论</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通过对杨叶村中沟套高标准蔬菜瓜果种植基地财政衔接资金在投入、过程、产出和效果等方面的综合评价，得出如下结论：</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杨叶村中沟套高标准蔬菜瓜果种植基地的立项，符合国家乡村振兴政策，特别是依托黄石市场，契合观光农业的实际情况。项目所设定的绩效目标依据充分，符合客观事实；根据绩效目标设定的绩效指标较为明确。</w:t>
      </w:r>
    </w:p>
    <w:p>
      <w:pPr>
        <w:spacing w:line="300" w:lineRule="auto"/>
        <w:ind w:firstLine="560" w:firstLineChars="200"/>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2、项目在工程管理、资金拨付等方面，基本符合国家政策要求，但未见对项目实行监理制度。截至2024年3月31日，因项目暂未完工，也未竣工验收和结算审计等制度，也没有提供后期管护资料。</w:t>
      </w:r>
    </w:p>
    <w:p>
      <w:pPr>
        <w:widowControl/>
        <w:spacing w:line="300" w:lineRule="auto"/>
        <w:ind w:firstLine="562" w:firstLineChars="200"/>
        <w:jc w:val="left"/>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四、项目</w:t>
      </w:r>
      <w:r>
        <w:rPr>
          <w:rFonts w:hint="eastAsia" w:ascii="宋体" w:hAnsi="宋体" w:eastAsia="宋体" w:cs="宋体"/>
          <w:b/>
          <w:color w:val="auto"/>
          <w:sz w:val="28"/>
          <w:szCs w:val="28"/>
          <w:highlight w:val="none"/>
        </w:rPr>
        <w:t>主要经验、存在的问题和建议</w:t>
      </w:r>
    </w:p>
    <w:p>
      <w:pPr>
        <w:widowControl/>
        <w:spacing w:line="300" w:lineRule="auto"/>
        <w:ind w:firstLine="540" w:firstLineChars="192"/>
        <w:jc w:val="left"/>
        <w:rPr>
          <w:rFonts w:hint="eastAsia" w:ascii="宋体" w:hAnsi="宋体" w:eastAsia="宋体" w:cs="宋体"/>
          <w:b/>
          <w:color w:val="auto"/>
          <w:sz w:val="28"/>
          <w:szCs w:val="28"/>
          <w:highlight w:val="none"/>
        </w:rPr>
      </w:pPr>
      <w:r>
        <w:rPr>
          <w:rFonts w:hint="eastAsia" w:ascii="宋体" w:hAnsi="宋体" w:eastAsia="宋体" w:cs="宋体"/>
          <w:b/>
          <w:bCs/>
          <w:color w:val="auto"/>
          <w:kern w:val="0"/>
          <w:sz w:val="28"/>
          <w:szCs w:val="28"/>
          <w:highlight w:val="none"/>
        </w:rPr>
        <w:t>（一）</w:t>
      </w:r>
      <w:r>
        <w:rPr>
          <w:rFonts w:hint="eastAsia" w:ascii="宋体" w:hAnsi="宋体" w:eastAsia="宋体" w:cs="宋体"/>
          <w:b/>
          <w:color w:val="auto"/>
          <w:sz w:val="28"/>
          <w:szCs w:val="28"/>
          <w:highlight w:val="none"/>
        </w:rPr>
        <w:t>主要经验和做法</w:t>
      </w:r>
    </w:p>
    <w:p>
      <w:pPr>
        <w:widowControl/>
        <w:spacing w:line="300" w:lineRule="auto"/>
        <w:ind w:firstLine="537" w:firstLineChars="192"/>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一是项目前期准备充分。在申报杨叶村中沟套高标准蔬菜瓜果种植基地前，杨叶村严格执行了“四议两公开”的程序，让项目获得了群众极大的认同感，有广泛的群众基础。且经过“两上两下”的流程，让项目获得财政衔接资金符合国家的产业政策。</w:t>
      </w:r>
    </w:p>
    <w:p>
      <w:pPr>
        <w:widowControl/>
        <w:spacing w:line="300" w:lineRule="auto"/>
        <w:ind w:firstLine="537" w:firstLineChars="192"/>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二是临空区财金局高度重视项目绩效管理。对杨叶镇上报的项目绩效进行审核和批复，并按规定进行公示，确保项目绩效设置比较合理、方便考核。</w:t>
      </w:r>
    </w:p>
    <w:p>
      <w:pPr>
        <w:widowControl/>
        <w:spacing w:line="300" w:lineRule="auto"/>
        <w:ind w:firstLine="537" w:firstLineChars="192"/>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三是项目单位按照《实施方案》的要求，规范实施程序。杨叶村中沟套高标准蔬菜瓜果种植基地项目得到区级批复后，杨叶村立即启动项目招标，选择施工队伍。同时，为规范项目质量，对项目实行合同制和竣工结算等管理制度。</w:t>
      </w:r>
    </w:p>
    <w:p>
      <w:pPr>
        <w:widowControl/>
        <w:spacing w:line="300" w:lineRule="auto"/>
        <w:ind w:firstLine="560" w:firstLineChars="200"/>
        <w:jc w:val="left"/>
        <w:rPr>
          <w:color w:val="auto"/>
          <w:sz w:val="28"/>
          <w:szCs w:val="28"/>
          <w:highlight w:val="none"/>
        </w:rPr>
      </w:pPr>
      <w:r>
        <w:rPr>
          <w:rFonts w:hint="eastAsia" w:ascii="仿宋_GB2312" w:hAnsi="宋体" w:eastAsia="仿宋_GB2312"/>
          <w:color w:val="auto"/>
          <w:sz w:val="28"/>
          <w:szCs w:val="28"/>
          <w:highlight w:val="none"/>
        </w:rPr>
        <w:t>四是逐层申报项目资金。项目实施过程中，采取“村申请、乡审核、区主管部门申报、管委会批准”的方式，下拨项目资金，确保资金按进度拨付，按渠道使用。</w:t>
      </w:r>
    </w:p>
    <w:p>
      <w:pPr>
        <w:widowControl/>
        <w:spacing w:line="300" w:lineRule="auto"/>
        <w:ind w:firstLine="540" w:firstLineChars="192"/>
        <w:jc w:val="left"/>
        <w:rPr>
          <w:rFonts w:ascii="宋体" w:hAnsi="宋体" w:cs="宋体"/>
          <w:b/>
          <w:bCs/>
          <w:color w:val="auto"/>
          <w:kern w:val="0"/>
          <w:sz w:val="28"/>
          <w:szCs w:val="28"/>
          <w:highlight w:val="none"/>
        </w:rPr>
      </w:pPr>
      <w:r>
        <w:rPr>
          <w:rFonts w:hint="eastAsia" w:ascii="仿宋_GB2312"/>
          <w:b/>
          <w:color w:val="auto"/>
          <w:sz w:val="28"/>
          <w:szCs w:val="28"/>
          <w:highlight w:val="none"/>
        </w:rPr>
        <w:t>（二）</w:t>
      </w:r>
      <w:r>
        <w:rPr>
          <w:rFonts w:hint="eastAsia" w:ascii="宋体" w:hAnsi="宋体" w:cs="宋体"/>
          <w:b/>
          <w:bCs/>
          <w:color w:val="auto"/>
          <w:kern w:val="0"/>
          <w:sz w:val="28"/>
          <w:szCs w:val="28"/>
          <w:highlight w:val="none"/>
        </w:rPr>
        <w:t>存在的主要问题</w:t>
      </w:r>
    </w:p>
    <w:p>
      <w:pPr>
        <w:widowControl/>
        <w:spacing w:line="300" w:lineRule="auto"/>
        <w:ind w:firstLine="537" w:firstLineChars="192"/>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项目未如期完成。从实地勘察结果看，截至2024年3月31日，项目仍未实际完成。从已提供资料反映，施工合同及设计合同金额只有109.40万元，因此实际投资可能达不到申报投资208.00万元，存在其他资金来源不到位的可能。</w:t>
      </w:r>
    </w:p>
    <w:p>
      <w:pPr>
        <w:widowControl/>
        <w:spacing w:line="300" w:lineRule="auto"/>
        <w:ind w:firstLine="562" w:firstLineChars="200"/>
        <w:jc w:val="left"/>
        <w:rPr>
          <w:rFonts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（三）建议及改进措施</w:t>
      </w:r>
    </w:p>
    <w:p>
      <w:pPr>
        <w:widowControl/>
        <w:spacing w:line="300" w:lineRule="auto"/>
        <w:ind w:firstLine="537" w:firstLineChars="192"/>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1、加快项目建设进度，及时办理项目竣工结算审计，夯实工程投资。</w:t>
      </w:r>
    </w:p>
    <w:p>
      <w:pPr>
        <w:widowControl/>
        <w:spacing w:line="300" w:lineRule="auto"/>
        <w:ind w:firstLine="537" w:firstLineChars="192"/>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2、项目投资确定后，及时申报竣工验收，并请求拨付项目资金，提高项目资金的拨付率和资金使用效率。</w:t>
      </w:r>
    </w:p>
    <w:p>
      <w:pPr>
        <w:widowControl/>
        <w:spacing w:line="300" w:lineRule="auto"/>
        <w:ind w:firstLine="537" w:firstLineChars="192"/>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3、发挥财政衔接资金绩效，落实好后期管护措施，及时引进专业投资人，方便贫困户和群众就近就业。</w:t>
      </w:r>
    </w:p>
    <w:p>
      <w:pPr>
        <w:rPr>
          <w:color w:val="auto"/>
          <w:highlight w:val="none"/>
        </w:rPr>
      </w:pPr>
    </w:p>
    <w:p>
      <w:pPr>
        <w:widowControl/>
        <w:spacing w:line="300" w:lineRule="auto"/>
        <w:ind w:firstLine="3640" w:firstLineChars="1300"/>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湖北众信会计师事务有限公司</w:t>
      </w:r>
    </w:p>
    <w:p>
      <w:pPr>
        <w:pStyle w:val="2"/>
        <w:tabs>
          <w:tab w:val="left" w:pos="248"/>
        </w:tabs>
        <w:ind w:firstLine="4480" w:firstLineChars="1600"/>
        <w:jc w:val="left"/>
        <w:rPr>
          <w:rFonts w:hint="eastAsia" w:ascii="宋体" w:hAnsi="宋体" w:eastAsia="宋体" w:cs="宋体"/>
          <w:b/>
          <w:bCs/>
          <w:color w:val="auto"/>
          <w:sz w:val="28"/>
          <w:szCs w:val="28"/>
          <w:highlight w:val="none"/>
          <w:lang w:eastAsia="zh-CN"/>
        </w:rPr>
      </w:pPr>
      <w:r>
        <w:rPr>
          <w:rFonts w:hint="eastAsia" w:ascii="仿宋_GB2312" w:hAnsi="宋体" w:eastAsia="仿宋_GB2312" w:cs="Times New Roman"/>
          <w:b w:val="0"/>
          <w:bCs w:val="0"/>
          <w:color w:val="auto"/>
          <w:kern w:val="2"/>
          <w:sz w:val="28"/>
          <w:szCs w:val="28"/>
          <w:highlight w:val="none"/>
          <w:lang w:val="en-US" w:eastAsia="zh-CN" w:bidi="ar-SA"/>
        </w:rPr>
        <w:t>2024年3月31日</w:t>
      </w:r>
    </w:p>
    <w:p>
      <w:pPr>
        <w:rPr>
          <w:rFonts w:hint="eastAsia"/>
        </w:rPr>
      </w:pPr>
    </w:p>
    <w:p/>
    <w:sectPr>
      <w:headerReference r:id="rId6" w:type="first"/>
      <w:footerReference r:id="rId8" w:type="first"/>
      <w:headerReference r:id="rId5" w:type="default"/>
      <w:footerReference r:id="rId7" w:type="default"/>
      <w:pgSz w:w="11906" w:h="16838"/>
      <w:pgMar w:top="1440" w:right="1800" w:bottom="1440" w:left="1800" w:header="851" w:footer="992" w:gutter="0"/>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1800" w:firstLineChars="1000"/>
    </w:pPr>
    <w:r>
      <w:rPr>
        <w:rFonts w:hint="eastAsia"/>
      </w:rPr>
      <w:t>杨叶村中沟套高标准蔬菜瓜果种植基地（第二期）项目</w:t>
    </w:r>
    <w:r>
      <w:rPr>
        <w:rFonts w:hint="eastAsia"/>
        <w:lang w:val="en-US" w:eastAsia="zh-CN"/>
      </w:rPr>
      <w:t>财政</w:t>
    </w:r>
    <w:r>
      <w:rPr>
        <w:rFonts w:hint="eastAsia"/>
      </w:rPr>
      <w:t>衔接资金绩效评价报告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ind w:firstLine="1800" w:firstLineChars="100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ind w:firstLine="1800" w:firstLineChars="1000"/>
    </w:pPr>
    <w:r>
      <w:rPr>
        <w:rFonts w:hint="eastAsia"/>
      </w:rPr>
      <w:t>杨叶村中沟套高标准蔬菜瓜果种植基地（第二期）项目</w:t>
    </w:r>
    <w:r>
      <w:rPr>
        <w:rFonts w:hint="eastAsia"/>
        <w:lang w:val="en-US" w:eastAsia="zh-CN"/>
      </w:rPr>
      <w:t>财政</w:t>
    </w:r>
    <w:r>
      <w:rPr>
        <w:rFonts w:hint="eastAsia"/>
      </w:rPr>
      <w:t>衔接资金绩效评价报告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ind w:firstLine="1800" w:firstLineChars="1000"/>
    </w:pPr>
    <w:r>
      <w:rPr>
        <w:rFonts w:hint="eastAsia"/>
      </w:rPr>
      <w:t>杨叶村中沟套高标准蔬菜瓜果种植基地（第二期）项目</w:t>
    </w:r>
    <w:r>
      <w:rPr>
        <w:rFonts w:hint="eastAsia"/>
        <w:lang w:val="en-US" w:eastAsia="zh-CN"/>
      </w:rPr>
      <w:t>财政</w:t>
    </w:r>
    <w:r>
      <w:rPr>
        <w:rFonts w:hint="eastAsia"/>
      </w:rPr>
      <w:t>衔接资金绩效评价报告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2NzM1MTAwZWRiNWI4Njk2YWVhNDM3Yjc2MjIwNmUifQ=="/>
  </w:docVars>
  <w:rsids>
    <w:rsidRoot w:val="00000000"/>
    <w:rsid w:val="009D541E"/>
    <w:rsid w:val="0ABF2726"/>
    <w:rsid w:val="140C57D6"/>
    <w:rsid w:val="19D32DBB"/>
    <w:rsid w:val="1A750A6F"/>
    <w:rsid w:val="1CAE7DCD"/>
    <w:rsid w:val="316E39D9"/>
    <w:rsid w:val="362829E1"/>
    <w:rsid w:val="39494A8F"/>
    <w:rsid w:val="3BC319FC"/>
    <w:rsid w:val="3C631C89"/>
    <w:rsid w:val="40066E78"/>
    <w:rsid w:val="5D9C6652"/>
    <w:rsid w:val="60545B1D"/>
    <w:rsid w:val="64C73242"/>
    <w:rsid w:val="657F4273"/>
    <w:rsid w:val="74FF1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tabs>
        <w:tab w:val="center" w:pos="4742"/>
      </w:tabs>
      <w:spacing w:before="312" w:after="312" w:line="300" w:lineRule="auto"/>
      <w:ind w:firstLine="3520" w:firstLineChars="800"/>
      <w:jc w:val="left"/>
      <w:outlineLvl w:val="0"/>
    </w:pPr>
    <w:rPr>
      <w:rFonts w:eastAsia="黑体"/>
      <w:kern w:val="44"/>
      <w:sz w:val="44"/>
      <w:szCs w:val="44"/>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2024-04-13T12:06:00Z</dcterms:created>
  <dc:creator>HUAWEI</dc:creator>
  <cp:lastModifiedBy>Ou</cp:lastModifiedBy>
  <dcterms:modified xsi:type="dcterms:W3CDTF">2024-04-14T04:32:43Z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546620340DE5418CB17D649909F373E2_12</vt:lpwstr>
  </property>
</Properties>
</file>