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00" w:lineRule="auto"/>
        <w:jc w:val="center"/>
        <w:rPr>
          <w:rFonts w:ascii="宋体" w:hAnsi="宋体"/>
          <w:sz w:val="52"/>
          <w:szCs w:val="52"/>
        </w:rPr>
      </w:pPr>
      <w:bookmarkStart w:id="0" w:name="_Hlk152698328"/>
      <w:r>
        <w:rPr>
          <w:rFonts w:hint="eastAsia" w:ascii="宋体" w:hAnsi="宋体"/>
          <w:sz w:val="52"/>
          <w:szCs w:val="52"/>
        </w:rPr>
        <w:t>临空经济区</w:t>
      </w:r>
      <w:r>
        <w:rPr>
          <w:rFonts w:hint="eastAsia" w:ascii="宋体" w:hAnsi="宋体"/>
          <w:sz w:val="52"/>
          <w:szCs w:val="52"/>
          <w:lang w:val="en-US" w:eastAsia="zh-CN"/>
        </w:rPr>
        <w:t>财政</w:t>
      </w:r>
      <w:r>
        <w:rPr>
          <w:rFonts w:hint="eastAsia" w:ascii="宋体" w:hAnsi="宋体"/>
          <w:sz w:val="52"/>
          <w:szCs w:val="52"/>
        </w:rPr>
        <w:t>衔接资金项目</w:t>
      </w:r>
    </w:p>
    <w:p>
      <w:pPr>
        <w:spacing w:line="300" w:lineRule="auto"/>
        <w:jc w:val="center"/>
        <w:rPr>
          <w:rFonts w:ascii="黑体" w:hAnsi="黑体" w:eastAsia="黑体"/>
          <w:b/>
          <w:sz w:val="72"/>
          <w:szCs w:val="72"/>
        </w:rPr>
      </w:pPr>
      <w:r>
        <w:rPr>
          <w:rFonts w:hint="eastAsia" w:ascii="黑体" w:hAnsi="黑体" w:eastAsia="黑体"/>
          <w:b/>
          <w:sz w:val="72"/>
          <w:szCs w:val="72"/>
        </w:rPr>
        <w:t>绩效评价报告</w:t>
      </w:r>
    </w:p>
    <w:bookmarkEnd w:id="0"/>
    <w:p>
      <w:pPr>
        <w:tabs>
          <w:tab w:val="left" w:pos="615"/>
        </w:tabs>
        <w:spacing w:line="300" w:lineRule="auto"/>
      </w:pPr>
    </w:p>
    <w:p>
      <w:pPr>
        <w:tabs>
          <w:tab w:val="left" w:pos="615"/>
        </w:tabs>
        <w:spacing w:line="300" w:lineRule="auto"/>
        <w:jc w:val="center"/>
      </w:pPr>
      <w:r>
        <w:rPr>
          <w:rFonts w:hint="eastAsia"/>
          <w:sz w:val="44"/>
          <w:szCs w:val="44"/>
          <w:lang w:val="en-US" w:eastAsia="zh-CN"/>
        </w:rPr>
        <w:t>（精简版）</w:t>
      </w:r>
    </w:p>
    <w:p>
      <w:pPr>
        <w:tabs>
          <w:tab w:val="left" w:pos="615"/>
        </w:tabs>
        <w:spacing w:line="300" w:lineRule="auto"/>
      </w:pPr>
    </w:p>
    <w:p>
      <w:pPr>
        <w:tabs>
          <w:tab w:val="left" w:pos="615"/>
        </w:tabs>
        <w:spacing w:line="300" w:lineRule="auto"/>
      </w:pPr>
    </w:p>
    <w:p>
      <w:pPr>
        <w:tabs>
          <w:tab w:val="left" w:pos="615"/>
        </w:tabs>
        <w:spacing w:line="300" w:lineRule="auto"/>
      </w:pPr>
    </w:p>
    <w:p>
      <w:pPr>
        <w:tabs>
          <w:tab w:val="left" w:pos="615"/>
        </w:tabs>
        <w:spacing w:line="300" w:lineRule="auto"/>
      </w:pPr>
    </w:p>
    <w:p>
      <w:pPr>
        <w:tabs>
          <w:tab w:val="left" w:pos="615"/>
        </w:tabs>
        <w:spacing w:line="300" w:lineRule="auto"/>
      </w:pPr>
    </w:p>
    <w:p>
      <w:pPr>
        <w:tabs>
          <w:tab w:val="left" w:pos="615"/>
        </w:tabs>
        <w:spacing w:line="300" w:lineRule="auto"/>
      </w:pPr>
    </w:p>
    <w:p>
      <w:pPr>
        <w:tabs>
          <w:tab w:val="left" w:pos="615"/>
        </w:tabs>
        <w:spacing w:line="300" w:lineRule="auto"/>
      </w:pPr>
    </w:p>
    <w:p>
      <w:pPr>
        <w:tabs>
          <w:tab w:val="left" w:pos="615"/>
        </w:tabs>
        <w:spacing w:line="300" w:lineRule="auto"/>
      </w:pPr>
    </w:p>
    <w:p>
      <w:pPr>
        <w:tabs>
          <w:tab w:val="left" w:pos="615"/>
        </w:tabs>
        <w:spacing w:line="300" w:lineRule="auto"/>
      </w:pPr>
    </w:p>
    <w:p>
      <w:pPr>
        <w:tabs>
          <w:tab w:val="left" w:pos="615"/>
        </w:tabs>
        <w:spacing w:line="300" w:lineRule="auto"/>
        <w:ind w:firstLine="843" w:firstLineChars="300"/>
        <w:rPr>
          <w:b/>
          <w:sz w:val="28"/>
          <w:szCs w:val="28"/>
        </w:rPr>
      </w:pPr>
      <w:bookmarkStart w:id="4" w:name="_GoBack"/>
      <w:r>
        <w:rPr>
          <w:rFonts w:hint="eastAsia"/>
          <w:b/>
          <w:sz w:val="28"/>
          <w:szCs w:val="28"/>
        </w:rPr>
        <w:t>项目名称：赵寨村冯家径至沙窝村朝垅道路硬化工程项目</w:t>
      </w:r>
    </w:p>
    <w:p>
      <w:pPr>
        <w:tabs>
          <w:tab w:val="left" w:pos="615"/>
        </w:tabs>
        <w:spacing w:line="300" w:lineRule="auto"/>
        <w:ind w:firstLine="843" w:firstLineChars="300"/>
        <w:rPr>
          <w:b/>
          <w:sz w:val="28"/>
          <w:szCs w:val="28"/>
        </w:rPr>
      </w:pPr>
      <w:r>
        <w:rPr>
          <w:rFonts w:hint="eastAsia"/>
          <w:b/>
          <w:sz w:val="28"/>
          <w:szCs w:val="28"/>
        </w:rPr>
        <w:t>项目单位：鄂州市临空经济区沙窝乡赵寨村</w:t>
      </w:r>
    </w:p>
    <w:p>
      <w:pPr>
        <w:tabs>
          <w:tab w:val="left" w:pos="615"/>
        </w:tabs>
        <w:spacing w:line="300" w:lineRule="auto"/>
        <w:ind w:firstLine="843" w:firstLineChars="300"/>
        <w:rPr>
          <w:b/>
          <w:sz w:val="28"/>
          <w:szCs w:val="28"/>
        </w:rPr>
      </w:pPr>
      <w:r>
        <w:rPr>
          <w:rFonts w:hint="eastAsia"/>
          <w:b/>
          <w:sz w:val="28"/>
          <w:szCs w:val="28"/>
        </w:rPr>
        <w:t>主管部门：鄂州市临空经济区沙窝乡</w:t>
      </w:r>
    </w:p>
    <w:p>
      <w:pPr>
        <w:tabs>
          <w:tab w:val="left" w:pos="615"/>
        </w:tabs>
        <w:spacing w:line="300" w:lineRule="auto"/>
        <w:ind w:firstLine="843" w:firstLineChars="300"/>
        <w:rPr>
          <w:b/>
          <w:sz w:val="28"/>
          <w:szCs w:val="28"/>
        </w:rPr>
      </w:pPr>
      <w:r>
        <w:rPr>
          <w:rFonts w:hint="eastAsia"/>
          <w:b/>
          <w:sz w:val="28"/>
          <w:szCs w:val="28"/>
        </w:rPr>
        <w:t>评价机构：湖北众信会计师事务有限公司</w:t>
      </w:r>
    </w:p>
    <w:p>
      <w:pPr>
        <w:spacing w:line="300" w:lineRule="auto"/>
        <w:ind w:firstLine="843" w:firstLineChars="300"/>
        <w:rPr>
          <w:rFonts w:hint="eastAsia"/>
          <w:b/>
          <w:sz w:val="28"/>
          <w:szCs w:val="28"/>
        </w:rPr>
      </w:pPr>
      <w:r>
        <w:rPr>
          <w:rFonts w:hint="eastAsia"/>
          <w:b/>
          <w:sz w:val="28"/>
          <w:szCs w:val="28"/>
        </w:rPr>
        <w:t>报告文号：湖众信绩评字[2023]00</w:t>
      </w:r>
      <w:r>
        <w:rPr>
          <w:rFonts w:hint="eastAsia"/>
          <w:b/>
          <w:sz w:val="28"/>
          <w:szCs w:val="28"/>
          <w:lang w:val="en-US" w:eastAsia="zh-CN"/>
        </w:rPr>
        <w:t>5</w:t>
      </w:r>
      <w:r>
        <w:rPr>
          <w:rFonts w:hint="eastAsia"/>
          <w:b/>
          <w:sz w:val="28"/>
          <w:szCs w:val="28"/>
        </w:rPr>
        <w:t>号</w:t>
      </w:r>
    </w:p>
    <w:bookmarkEnd w:id="4"/>
    <w:p>
      <w:pPr>
        <w:widowControl/>
        <w:spacing w:line="300" w:lineRule="auto"/>
        <w:ind w:firstLine="551" w:firstLineChars="196"/>
        <w:jc w:val="left"/>
        <w:rPr>
          <w:rFonts w:ascii="宋体" w:hAnsi="宋体" w:cs="宋体"/>
          <w:b/>
          <w:bCs/>
          <w:kern w:val="0"/>
          <w:sz w:val="28"/>
          <w:szCs w:val="28"/>
        </w:rPr>
      </w:pPr>
    </w:p>
    <w:p>
      <w:pPr>
        <w:tabs>
          <w:tab w:val="left" w:pos="615"/>
        </w:tabs>
        <w:spacing w:line="300" w:lineRule="auto"/>
        <w:ind w:firstLine="703" w:firstLineChars="250"/>
        <w:rPr>
          <w:b/>
          <w:sz w:val="28"/>
          <w:szCs w:val="28"/>
        </w:rPr>
      </w:pPr>
    </w:p>
    <w:p>
      <w:pPr>
        <w:tabs>
          <w:tab w:val="left" w:pos="615"/>
        </w:tabs>
        <w:spacing w:line="300" w:lineRule="auto"/>
        <w:rPr>
          <w:sz w:val="24"/>
        </w:rPr>
      </w:pPr>
    </w:p>
    <w:p>
      <w:pPr>
        <w:tabs>
          <w:tab w:val="left" w:pos="615"/>
        </w:tabs>
        <w:spacing w:line="300" w:lineRule="auto"/>
        <w:jc w:val="center"/>
      </w:pPr>
    </w:p>
    <w:p>
      <w:pPr>
        <w:spacing w:before="156" w:beforeLines="50" w:line="300" w:lineRule="auto"/>
        <w:ind w:firstLine="2530" w:firstLineChars="900"/>
        <w:rPr>
          <w:b/>
          <w:bCs/>
          <w:sz w:val="28"/>
          <w:szCs w:val="28"/>
        </w:rPr>
      </w:pPr>
      <w:r>
        <w:rPr>
          <w:rFonts w:hint="eastAsia" w:ascii="宋体" w:hAnsi="宋体" w:eastAsia="宋体" w:cs="宋体"/>
          <w:b/>
          <w:bCs/>
          <w:sz w:val="28"/>
          <w:szCs w:val="28"/>
        </w:rPr>
        <w:t>2023年12月</w:t>
      </w:r>
    </w:p>
    <w:p>
      <w:pPr>
        <w:spacing w:before="156" w:beforeLines="50" w:line="300" w:lineRule="auto"/>
        <w:jc w:val="center"/>
      </w:pPr>
    </w:p>
    <w:p>
      <w:pPr>
        <w:pStyle w:val="2"/>
      </w:pPr>
    </w:p>
    <w:p/>
    <w:p>
      <w:pPr>
        <w:pStyle w:val="3"/>
        <w:tabs>
          <w:tab w:val="center" w:pos="4742"/>
        </w:tabs>
        <w:spacing w:before="312" w:after="312" w:line="300" w:lineRule="auto"/>
        <w:ind w:firstLine="3960" w:firstLineChars="900"/>
        <w:rPr>
          <w:rFonts w:ascii="Times New Roman" w:hAnsi="Times New Roman" w:eastAsia="黑体"/>
          <w:b w:val="0"/>
          <w:bCs w:val="0"/>
        </w:rPr>
      </w:pPr>
      <w:r>
        <w:rPr>
          <w:rFonts w:hint="eastAsia" w:ascii="Times New Roman" w:hAnsi="Times New Roman" w:eastAsia="黑体"/>
          <w:b w:val="0"/>
          <w:bCs w:val="0"/>
        </w:rPr>
        <w:t>说明</w:t>
      </w:r>
    </w:p>
    <w:p>
      <w:pPr>
        <w:spacing w:line="300" w:lineRule="auto"/>
        <w:ind w:firstLine="560" w:firstLineChars="200"/>
        <w:rPr>
          <w:rFonts w:ascii="仿宋_GB2312" w:hAnsi="宋体" w:eastAsia="仿宋_GB2312"/>
          <w:sz w:val="28"/>
          <w:szCs w:val="28"/>
        </w:rPr>
      </w:pPr>
      <w:r>
        <w:rPr>
          <w:rFonts w:hint="eastAsia" w:ascii="仿宋_GB2312" w:hAnsi="宋体" w:eastAsia="仿宋_GB2312"/>
          <w:sz w:val="28"/>
          <w:szCs w:val="28"/>
        </w:rPr>
        <w:t>受鄂州市临空经济区财政金融局（以下简称财金局）委托，湖北众信会计师事务有限公司对临空经济区沙窝乡赵寨村冯家径至沙窝村朝垅道路硬化工程项目财政衔接资金使用情况进行了绩效评价。通过此次评价，全面了解沙窝乡赵寨村冯家径至沙窝村朝垅道路硬化工程项目财政衔接资金拨付、使用情况以及取得的综合绩效，同时通过对项目资金绩效评价，总结经验、发现问题、提出改进建议，保证沙窝乡赵寨村冯家径至沙窝村朝垅道路硬化工程项目财政衔接资金使用管理的规范性、安全性和有效性。</w:t>
      </w:r>
    </w:p>
    <w:p>
      <w:pPr>
        <w:spacing w:line="300" w:lineRule="auto"/>
        <w:ind w:firstLine="560" w:firstLineChars="200"/>
        <w:rPr>
          <w:rFonts w:ascii="仿宋_GB2312" w:hAnsi="宋体" w:eastAsia="仿宋_GB2312"/>
          <w:sz w:val="28"/>
          <w:szCs w:val="28"/>
        </w:rPr>
      </w:pPr>
      <w:r>
        <w:rPr>
          <w:rFonts w:hint="eastAsia" w:ascii="仿宋_GB2312" w:hAnsi="宋体" w:eastAsia="仿宋_GB2312"/>
          <w:sz w:val="28"/>
          <w:szCs w:val="28"/>
        </w:rPr>
        <w:t>本次评价依照财政部《项目支出绩效评价管理办法》（财预[2020]10号文件）、湖北省财政厅关于印发《全面实施预算绩效管理系列制度的通知》（鄂财绩发[2020]3号文件）、</w:t>
      </w:r>
      <w:bookmarkStart w:id="1" w:name="_Hlk152698394"/>
      <w:r>
        <w:rPr>
          <w:rFonts w:hint="eastAsia" w:ascii="仿宋_GB2312" w:hAnsi="宋体" w:eastAsia="仿宋_GB2312"/>
          <w:sz w:val="28"/>
          <w:szCs w:val="28"/>
        </w:rPr>
        <w:t>临空经济区党工委农村工作领导小组办公室关于印发《2023年度巩固拓展脱贫攻坚成果同乡村振兴有效衔接项目库的批复的通知》(临空农组办发[2023]1号)</w:t>
      </w:r>
      <w:bookmarkEnd w:id="1"/>
      <w:r>
        <w:rPr>
          <w:rFonts w:hint="eastAsia" w:ascii="仿宋_GB2312" w:hAnsi="宋体" w:eastAsia="仿宋_GB2312"/>
          <w:sz w:val="28"/>
          <w:szCs w:val="28"/>
        </w:rPr>
        <w:t>、中共中央和国务院《关于实现巩固拓展脱贫攻坚成果同乡村振兴有效衔接的意见》、财政部《关于印发中央财政衔接推进乡村振兴补助资金管理办法的通知》（财农〔2021〕19号）、《湖北省乡村振兴促进条例》、《湖北省财政衔接推进乡村振兴补助资金管理办法》（鄂财农发〔2021〕25号）等文件及政策的规定和要求，按时完成了“赵寨村冯家径至沙窝村朝垅道路硬化工程项目”绩效评价工作，并形成本绩效评价报告。</w:t>
      </w:r>
    </w:p>
    <w:p>
      <w:pPr>
        <w:spacing w:line="300" w:lineRule="auto"/>
        <w:ind w:firstLine="3253" w:firstLineChars="900"/>
        <w:rPr>
          <w:rFonts w:ascii="ˎ̥" w:hAnsi="ˎ̥"/>
          <w:b/>
          <w:sz w:val="36"/>
          <w:szCs w:val="36"/>
        </w:rPr>
      </w:pPr>
      <w:bookmarkStart w:id="2" w:name="_Hlk152178410"/>
      <w:r>
        <w:rPr>
          <w:rFonts w:hint="eastAsia" w:ascii="ˎ̥" w:hAnsi="ˎ̥"/>
          <w:b/>
          <w:sz w:val="36"/>
          <w:szCs w:val="36"/>
        </w:rPr>
        <w:t>报告摘要</w:t>
      </w:r>
    </w:p>
    <w:bookmarkEnd w:id="2"/>
    <w:p/>
    <w:p>
      <w:pPr>
        <w:widowControl/>
        <w:spacing w:line="300" w:lineRule="auto"/>
        <w:ind w:firstLine="551" w:firstLineChars="196"/>
        <w:jc w:val="left"/>
        <w:rPr>
          <w:rFonts w:ascii="宋体" w:hAnsi="宋体" w:cs="宋体"/>
          <w:b/>
          <w:bCs/>
          <w:kern w:val="0"/>
          <w:sz w:val="28"/>
          <w:szCs w:val="28"/>
        </w:rPr>
      </w:pPr>
      <w:r>
        <w:rPr>
          <w:rFonts w:hint="eastAsia" w:ascii="宋体" w:hAnsi="宋体" w:cs="宋体"/>
          <w:b/>
          <w:bCs/>
          <w:kern w:val="0"/>
          <w:sz w:val="28"/>
          <w:szCs w:val="28"/>
        </w:rPr>
        <w:t>一、项目基本情况</w:t>
      </w:r>
    </w:p>
    <w:p>
      <w:pPr>
        <w:widowControl/>
        <w:spacing w:line="300" w:lineRule="auto"/>
        <w:ind w:firstLine="551" w:firstLineChars="196"/>
        <w:jc w:val="left"/>
        <w:rPr>
          <w:rFonts w:ascii="宋体" w:hAnsi="宋体" w:cs="宋体"/>
          <w:b/>
          <w:bCs/>
          <w:kern w:val="0"/>
          <w:sz w:val="28"/>
          <w:szCs w:val="28"/>
        </w:rPr>
      </w:pPr>
      <w:r>
        <w:rPr>
          <w:rFonts w:hint="eastAsia" w:ascii="宋体" w:hAnsi="宋体" w:cs="宋体"/>
          <w:b/>
          <w:bCs/>
          <w:kern w:val="0"/>
          <w:sz w:val="28"/>
          <w:szCs w:val="28"/>
        </w:rPr>
        <w:t>（一）项目立项及批复情况</w:t>
      </w:r>
    </w:p>
    <w:p>
      <w:pPr>
        <w:spacing w:line="480" w:lineRule="exact"/>
        <w:ind w:left="105" w:leftChars="50" w:right="105" w:rightChars="50" w:firstLine="560" w:firstLineChars="200"/>
        <w:rPr>
          <w:rFonts w:ascii="仿宋_GB2312" w:hAnsi="宋体" w:eastAsia="仿宋_GB2312" w:cstheme="minorBidi"/>
          <w:sz w:val="28"/>
          <w:szCs w:val="28"/>
        </w:rPr>
      </w:pPr>
      <w:r>
        <w:rPr>
          <w:rFonts w:hint="eastAsia" w:ascii="仿宋_GB2312" w:hAnsi="宋体" w:eastAsia="仿宋_GB2312" w:cstheme="minorBidi"/>
          <w:sz w:val="28"/>
          <w:szCs w:val="28"/>
        </w:rPr>
        <w:t>2020年全国脱贫攻坚任务完成后，党中央、国务院及时印发了《关于实现巩固拓展脱贫攻坚成果同乡村振兴有效衔接的意见》，要求脱贫攻坚目标任务完成后，设立5年过渡期。从解决建档立卡贫困人口“两不愁三保障”为重点转向实现乡村产业兴旺、生态宜居、乡风文明、治理有效、生活富裕，从集中资源支持脱贫攻坚转向巩固拓展脱贫攻坚成果和全面推进乡村振兴。到2025年，脱贫攻坚成果巩固拓展，乡村振兴全面推进，脱贫地区经济活力和发展后劲明显增强，乡村产业质量效益和竞争力进一步提高，农村基础设施和基本公共服务水平进一步提升，生态环境持续改善，美丽宜居乡村建设扎实推进，乡风文明建设取得显著进展，农村基层组织建设不断加强，农村低收入人口分类帮扶长效机制逐步完善，脱贫地区农民收入增速高于全国农民平均水平。</w:t>
      </w:r>
    </w:p>
    <w:p>
      <w:pPr>
        <w:spacing w:line="480" w:lineRule="exact"/>
        <w:ind w:left="105" w:leftChars="50" w:right="105" w:rightChars="50" w:firstLine="560" w:firstLineChars="200"/>
        <w:rPr>
          <w:rFonts w:ascii="仿宋_GB2312" w:hAnsi="宋体" w:eastAsia="仿宋_GB2312" w:cstheme="minorBidi"/>
          <w:sz w:val="28"/>
          <w:szCs w:val="28"/>
        </w:rPr>
      </w:pPr>
      <w:r>
        <w:rPr>
          <w:rFonts w:hint="eastAsia" w:ascii="仿宋_GB2312" w:hAnsi="宋体" w:eastAsia="仿宋_GB2312" w:cstheme="minorBidi"/>
          <w:sz w:val="28"/>
          <w:szCs w:val="28"/>
        </w:rPr>
        <w:t>过渡期内在保持财政支持政策总体稳定的前提下，根据巩固拓展脱贫攻坚成果同乡村振兴有效衔接的需要和财力状况，合理安排财政投入规模，优化支出结构，调整支持重点。保留并调整优化原财政专项扶贫资金，聚焦支持脱贫地区巩固拓展脱贫攻坚成果和乡村振兴，适当向国家乡村振兴重点帮扶县倾斜，并逐步提高用于产业发展的比例。</w:t>
      </w:r>
    </w:p>
    <w:p>
      <w:pPr>
        <w:spacing w:line="480" w:lineRule="exact"/>
        <w:ind w:left="105" w:leftChars="50" w:right="105" w:rightChars="50" w:firstLine="560" w:firstLineChars="200"/>
        <w:rPr>
          <w:rFonts w:ascii="仿宋_GB2312" w:hAnsi="宋体" w:eastAsia="仿宋_GB2312" w:cstheme="minorBidi"/>
          <w:sz w:val="28"/>
          <w:szCs w:val="28"/>
        </w:rPr>
      </w:pPr>
      <w:r>
        <w:rPr>
          <w:rFonts w:hint="eastAsia" w:ascii="仿宋_GB2312" w:hAnsi="宋体" w:eastAsia="仿宋_GB2312" w:cstheme="minorBidi"/>
          <w:sz w:val="28"/>
          <w:szCs w:val="28"/>
        </w:rPr>
        <w:t>临空经济区根据《关于实现巩固拓展脱贫攻坚成果同乡村振兴有效衔接的意见》精神，采取“两上两下”（项目村向镇上报项目纳入镇级项目库，镇再向区申报项目纳入区级项目库；区乡村振兴局经过一定程序审定后向各镇批复，各镇再向村级批复）的方式，遴选并批复2023年度乡村振兴项目。</w:t>
      </w:r>
    </w:p>
    <w:p>
      <w:pPr>
        <w:spacing w:line="480" w:lineRule="exact"/>
        <w:ind w:left="105" w:leftChars="50" w:right="105" w:rightChars="50" w:firstLine="560" w:firstLineChars="200"/>
        <w:rPr>
          <w:rFonts w:ascii="仿宋_GB2312" w:hAnsi="宋体" w:eastAsia="仿宋_GB2312" w:cstheme="minorBidi"/>
          <w:sz w:val="28"/>
          <w:szCs w:val="28"/>
        </w:rPr>
      </w:pPr>
      <w:r>
        <w:rPr>
          <w:rFonts w:hint="eastAsia" w:ascii="仿宋_GB2312" w:hAnsi="宋体" w:eastAsia="仿宋_GB2312" w:cstheme="minorBidi"/>
          <w:sz w:val="28"/>
          <w:szCs w:val="28"/>
        </w:rPr>
        <w:t>根据临空经济区乡村治理促进新时代乡村全面振兴的总要求和改善农村人民环境，加快乡村产业发展，提高农民收入，巩固脱贫攻坚成果，实现产业兴旺，生活富裕的总体目标，结合赵寨村的实际，拟申报赵寨村冯家径至沙窝村朝垅道路硬化工程项目，赵寨村冯家径至沙窝村朝垅道路硬化工程项目约2400米、宽3.5米，建设错车平台15个。希望该项目建设完成后可以有效解决赵寨村的交通运输条件，方便村民外出务工、增加收入，促进赵寨村的乡村振兴。</w:t>
      </w:r>
    </w:p>
    <w:p>
      <w:pPr>
        <w:spacing w:line="480" w:lineRule="exact"/>
        <w:ind w:left="105" w:leftChars="50" w:right="105" w:rightChars="50" w:firstLine="560" w:firstLineChars="200"/>
        <w:rPr>
          <w:rFonts w:ascii="仿宋_GB2312" w:hAnsi="宋体" w:eastAsia="仿宋_GB2312" w:cstheme="minorBidi"/>
          <w:sz w:val="28"/>
          <w:szCs w:val="28"/>
        </w:rPr>
      </w:pPr>
      <w:r>
        <w:rPr>
          <w:rFonts w:hint="eastAsia" w:ascii="仿宋_GB2312" w:hAnsi="宋体" w:eastAsia="仿宋_GB2312" w:cstheme="minorBidi"/>
          <w:sz w:val="28"/>
          <w:szCs w:val="28"/>
        </w:rPr>
        <w:t>区乡村振兴局向各镇下发了《关于2023年度申报实施乡村振兴项目库的批复》，批复了赵寨村冯家径至沙窝村朝垅道路硬化工程项目，项目安排投资150万元，全部是财政衔接推进乡村振兴补助资金。</w:t>
      </w:r>
    </w:p>
    <w:p>
      <w:pPr>
        <w:widowControl/>
        <w:spacing w:line="300" w:lineRule="auto"/>
        <w:ind w:firstLine="540" w:firstLineChars="192"/>
        <w:jc w:val="left"/>
        <w:rPr>
          <w:rFonts w:ascii="宋体" w:hAnsi="宋体" w:cs="宋体"/>
          <w:b/>
          <w:bCs/>
          <w:kern w:val="0"/>
          <w:sz w:val="28"/>
          <w:szCs w:val="28"/>
        </w:rPr>
      </w:pPr>
      <w:r>
        <w:rPr>
          <w:rFonts w:hint="eastAsia" w:ascii="宋体" w:hAnsi="宋体" w:cs="宋体"/>
          <w:b/>
          <w:bCs/>
          <w:kern w:val="0"/>
          <w:sz w:val="28"/>
          <w:szCs w:val="28"/>
        </w:rPr>
        <w:t>（二）</w:t>
      </w:r>
      <w:r>
        <w:rPr>
          <w:rFonts w:hint="eastAsia" w:ascii="ˎ̥" w:hAnsi="ˎ̥"/>
          <w:b/>
          <w:color w:val="000000"/>
          <w:sz w:val="28"/>
          <w:szCs w:val="28"/>
        </w:rPr>
        <w:t>项目实施单位情况</w:t>
      </w:r>
    </w:p>
    <w:p>
      <w:pPr>
        <w:spacing w:line="480" w:lineRule="exact"/>
        <w:ind w:left="105" w:leftChars="50" w:right="105" w:rightChars="50" w:firstLine="560" w:firstLineChars="200"/>
        <w:rPr>
          <w:rFonts w:ascii="仿宋_GB2312" w:hAnsi="宋体" w:eastAsia="仿宋_GB2312" w:cstheme="minorBidi"/>
          <w:sz w:val="28"/>
          <w:szCs w:val="28"/>
        </w:rPr>
      </w:pPr>
      <w:r>
        <w:rPr>
          <w:rFonts w:hint="eastAsia" w:ascii="仿宋_GB2312" w:hAnsi="宋体" w:eastAsia="仿宋_GB2312" w:cstheme="minorBidi"/>
          <w:sz w:val="28"/>
          <w:szCs w:val="28"/>
        </w:rPr>
        <w:t>沙窝乡赵寨村民委员会（以下简称赵寨村），法定代表人：赵中友。统一社会信用代码：54420704ME1808715P。</w:t>
      </w:r>
    </w:p>
    <w:p>
      <w:pPr>
        <w:spacing w:line="480" w:lineRule="exact"/>
        <w:ind w:left="105" w:leftChars="50" w:right="105" w:rightChars="50" w:firstLine="560" w:firstLineChars="200"/>
        <w:rPr>
          <w:rFonts w:ascii="仿宋_GB2312" w:hAnsi="宋体" w:eastAsia="仿宋_GB2312" w:cstheme="minorBidi"/>
          <w:sz w:val="28"/>
          <w:szCs w:val="28"/>
        </w:rPr>
      </w:pPr>
      <w:r>
        <w:rPr>
          <w:rFonts w:hint="eastAsia" w:ascii="仿宋_GB2312" w:hAnsi="宋体" w:eastAsia="仿宋_GB2312" w:cstheme="minorBidi"/>
          <w:sz w:val="28"/>
          <w:szCs w:val="28"/>
        </w:rPr>
        <w:t>赵寨村位于鄂州市东南部，占地总面积7800亩，全村共14个小组，25个自然湾，总人口530户1708人，党员总人数66人。本村建档立卡脱贫户67户，脱贫人口153人；监测户2户3人。</w:t>
      </w:r>
    </w:p>
    <w:p>
      <w:pPr>
        <w:widowControl/>
        <w:spacing w:line="300" w:lineRule="auto"/>
        <w:ind w:firstLine="540" w:firstLineChars="192"/>
        <w:jc w:val="left"/>
        <w:rPr>
          <w:rFonts w:ascii="宋体" w:hAnsi="宋体" w:cs="宋体"/>
          <w:b/>
          <w:bCs/>
          <w:kern w:val="0"/>
          <w:sz w:val="28"/>
          <w:szCs w:val="28"/>
        </w:rPr>
      </w:pPr>
      <w:r>
        <w:rPr>
          <w:rFonts w:hint="eastAsia" w:ascii="宋体" w:hAnsi="宋体" w:cs="宋体"/>
          <w:b/>
          <w:bCs/>
          <w:kern w:val="0"/>
          <w:sz w:val="28"/>
          <w:szCs w:val="28"/>
        </w:rPr>
        <w:t>（三）项目基本情况</w:t>
      </w:r>
    </w:p>
    <w:p>
      <w:pPr>
        <w:spacing w:line="480" w:lineRule="exact"/>
        <w:ind w:left="105" w:leftChars="50" w:right="105" w:rightChars="50" w:firstLine="560" w:firstLineChars="200"/>
        <w:rPr>
          <w:rFonts w:hint="eastAsia" w:ascii="仿宋_GB2312" w:hAnsi="宋体" w:eastAsia="仿宋_GB2312" w:cstheme="minorBidi"/>
          <w:sz w:val="28"/>
          <w:szCs w:val="28"/>
        </w:rPr>
      </w:pPr>
      <w:r>
        <w:rPr>
          <w:rFonts w:hint="eastAsia" w:ascii="仿宋_GB2312" w:hAnsi="宋体" w:eastAsia="仿宋_GB2312" w:cstheme="minorBidi"/>
          <w:sz w:val="28"/>
          <w:szCs w:val="28"/>
        </w:rPr>
        <w:t>赵寨村冯家径至沙窝村朝垅道路硬化工程项目建成后，可带动当地经济社会发展，增强经济发展后劲，为增加农村经济收入起到了一定的保障作用。也是一项帮助解决项目区农民交通问题，改善贫困地区群众生产生活条件，实现农村经济可持续、快速健康发展的德政工程。</w:t>
      </w:r>
    </w:p>
    <w:p>
      <w:pPr>
        <w:spacing w:line="480" w:lineRule="exact"/>
        <w:ind w:left="105" w:leftChars="50" w:right="105" w:rightChars="50" w:firstLine="560" w:firstLineChars="200"/>
        <w:rPr>
          <w:rFonts w:ascii="仿宋_GB2312" w:hAnsi="宋体" w:eastAsia="仿宋_GB2312" w:cstheme="minorBidi"/>
          <w:sz w:val="28"/>
          <w:szCs w:val="28"/>
        </w:rPr>
      </w:pPr>
      <w:r>
        <w:rPr>
          <w:rFonts w:hint="eastAsia" w:ascii="仿宋_GB2312" w:hAnsi="宋体" w:eastAsia="仿宋_GB2312" w:cstheme="minorBidi"/>
          <w:sz w:val="28"/>
          <w:szCs w:val="28"/>
        </w:rPr>
        <w:t>赵寨村冯家径至沙窝村朝垅道路硬化工程项目，紧扣完善乡村基础设施建设，加强与“十里红道”联系，既方便周边村民的生产生活，也方便来往游客观光游玩。经村两委、驻村工作队、党员村民代表大会等“四议两公开”决策程序，决定建设赵寨村冯家径至沙窝村朝垅道路硬化，方便赵寨村及周边村的村民出行。项目建设规模：道路长约2400米、宽3.5米，建设错车平台15个。</w:t>
      </w:r>
    </w:p>
    <w:p>
      <w:pPr>
        <w:widowControl/>
        <w:spacing w:line="300" w:lineRule="auto"/>
        <w:ind w:firstLine="562" w:firstLineChars="200"/>
        <w:jc w:val="left"/>
        <w:rPr>
          <w:rFonts w:ascii="宋体" w:hAnsi="宋体" w:cs="宋体"/>
          <w:b/>
          <w:bCs/>
          <w:kern w:val="0"/>
          <w:sz w:val="28"/>
          <w:szCs w:val="28"/>
        </w:rPr>
      </w:pPr>
      <w:r>
        <w:rPr>
          <w:rFonts w:hint="eastAsia" w:ascii="宋体" w:hAnsi="宋体" w:cs="宋体"/>
          <w:b/>
          <w:bCs/>
          <w:kern w:val="0"/>
          <w:sz w:val="28"/>
          <w:szCs w:val="28"/>
        </w:rPr>
        <w:t>（四）项目绩效目标</w:t>
      </w:r>
    </w:p>
    <w:p>
      <w:pPr>
        <w:spacing w:line="480" w:lineRule="exact"/>
        <w:ind w:left="105" w:leftChars="50" w:right="105" w:rightChars="50" w:firstLine="560" w:firstLineChars="200"/>
        <w:rPr>
          <w:rFonts w:ascii="仿宋_GB2312" w:hAnsi="宋体" w:eastAsia="仿宋_GB2312" w:cstheme="minorBidi"/>
          <w:sz w:val="28"/>
          <w:szCs w:val="28"/>
        </w:rPr>
      </w:pPr>
      <w:r>
        <w:rPr>
          <w:rFonts w:hint="eastAsia" w:ascii="仿宋_GB2312" w:hAnsi="宋体" w:eastAsia="仿宋_GB2312" w:cstheme="minorBidi"/>
          <w:sz w:val="28"/>
          <w:szCs w:val="28"/>
        </w:rPr>
        <w:t>赵寨村冯家径至沙窝村朝垅道路硬化工程项目，拟投资150万余元，主要用于道路建设硬化。绩效目标：</w:t>
      </w:r>
    </w:p>
    <w:p>
      <w:pPr>
        <w:spacing w:line="480" w:lineRule="exact"/>
        <w:ind w:left="105" w:leftChars="50" w:right="105" w:rightChars="50" w:firstLine="560" w:firstLineChars="200"/>
        <w:rPr>
          <w:rFonts w:ascii="仿宋_GB2312" w:hAnsi="宋体" w:eastAsia="仿宋_GB2312" w:cstheme="minorBidi"/>
          <w:sz w:val="28"/>
          <w:szCs w:val="28"/>
        </w:rPr>
      </w:pPr>
      <w:r>
        <w:rPr>
          <w:rFonts w:hint="eastAsia" w:ascii="仿宋_GB2312" w:hAnsi="宋体" w:eastAsia="仿宋_GB2312" w:cstheme="minorBidi"/>
          <w:sz w:val="28"/>
          <w:szCs w:val="28"/>
          <w:lang w:val="en-US" w:eastAsia="zh-CN"/>
        </w:rPr>
        <w:t>1、</w:t>
      </w:r>
      <w:r>
        <w:rPr>
          <w:rFonts w:hint="eastAsia" w:ascii="仿宋_GB2312" w:hAnsi="宋体" w:eastAsia="仿宋_GB2312" w:cstheme="minorBidi"/>
          <w:sz w:val="28"/>
          <w:szCs w:val="28"/>
        </w:rPr>
        <w:t>经济效益：项目实施后，提升交通运输能力，促进产业结构发展，激活当地经济发展。同时，提高道路通行能力，促进乡村旅游，带动增加旅游收入。</w:t>
      </w:r>
    </w:p>
    <w:p>
      <w:pPr>
        <w:spacing w:line="480" w:lineRule="exact"/>
        <w:ind w:left="105" w:leftChars="50" w:right="105" w:rightChars="50" w:firstLine="560" w:firstLineChars="200"/>
        <w:rPr>
          <w:rFonts w:ascii="仿宋_GB2312" w:hAnsi="宋体" w:eastAsia="仿宋_GB2312" w:cstheme="minorBidi"/>
          <w:sz w:val="28"/>
          <w:szCs w:val="28"/>
        </w:rPr>
      </w:pPr>
      <w:r>
        <w:rPr>
          <w:rFonts w:hint="eastAsia" w:ascii="仿宋_GB2312" w:hAnsi="宋体" w:eastAsia="仿宋_GB2312" w:cstheme="minorBidi"/>
          <w:sz w:val="28"/>
          <w:szCs w:val="28"/>
          <w:lang w:val="en-US" w:eastAsia="zh-CN"/>
        </w:rPr>
        <w:t>2、</w:t>
      </w:r>
      <w:r>
        <w:rPr>
          <w:rFonts w:hint="eastAsia" w:ascii="仿宋_GB2312" w:hAnsi="宋体" w:eastAsia="仿宋_GB2312" w:cstheme="minorBidi"/>
          <w:sz w:val="28"/>
          <w:szCs w:val="28"/>
        </w:rPr>
        <w:t>社会效益：一是缩短居民出行的平均时间；二是辐射覆盖行政村</w:t>
      </w:r>
      <w:r>
        <w:rPr>
          <w:rFonts w:ascii="Arial" w:hAnsi="Arial" w:eastAsia="仿宋_GB2312" w:cs="Arial"/>
          <w:sz w:val="28"/>
          <w:szCs w:val="28"/>
        </w:rPr>
        <w:t>≥</w:t>
      </w:r>
      <w:r>
        <w:rPr>
          <w:rFonts w:hint="eastAsia" w:ascii="仿宋_GB2312" w:hAnsi="宋体" w:eastAsia="仿宋_GB2312" w:cstheme="minorBidi"/>
          <w:sz w:val="28"/>
          <w:szCs w:val="28"/>
        </w:rPr>
        <w:t>3个；三是全村人口都能受益。</w:t>
      </w:r>
    </w:p>
    <w:p>
      <w:pPr>
        <w:spacing w:line="480" w:lineRule="exact"/>
        <w:ind w:left="105" w:leftChars="50" w:right="105" w:rightChars="50" w:firstLine="560" w:firstLineChars="200"/>
        <w:rPr>
          <w:rFonts w:ascii="仿宋_GB2312" w:hAnsi="宋体" w:eastAsia="仿宋_GB2312" w:cstheme="minorBidi"/>
          <w:sz w:val="28"/>
          <w:szCs w:val="28"/>
        </w:rPr>
      </w:pPr>
      <w:r>
        <w:rPr>
          <w:rFonts w:hint="eastAsia" w:ascii="仿宋_GB2312" w:hAnsi="宋体" w:eastAsia="仿宋_GB2312" w:cstheme="minorBidi"/>
          <w:sz w:val="28"/>
          <w:szCs w:val="28"/>
          <w:lang w:val="en-US" w:eastAsia="zh-CN"/>
        </w:rPr>
        <w:t>3、</w:t>
      </w:r>
      <w:r>
        <w:rPr>
          <w:rFonts w:hint="eastAsia" w:ascii="仿宋_GB2312" w:hAnsi="宋体" w:eastAsia="仿宋_GB2312" w:cstheme="minorBidi"/>
          <w:sz w:val="28"/>
          <w:szCs w:val="28"/>
        </w:rPr>
        <w:t>生态效益：增强路面抗荷载能力，增加道路边坡安全性。</w:t>
      </w:r>
    </w:p>
    <w:p>
      <w:pPr>
        <w:spacing w:line="480" w:lineRule="exact"/>
        <w:ind w:left="105" w:leftChars="50" w:right="105" w:rightChars="50" w:firstLine="560" w:firstLineChars="200"/>
        <w:rPr>
          <w:rFonts w:ascii="仿宋_GB2312" w:hAnsi="宋体" w:eastAsia="仿宋_GB2312" w:cstheme="minorBidi"/>
          <w:sz w:val="28"/>
          <w:szCs w:val="28"/>
        </w:rPr>
      </w:pPr>
      <w:r>
        <w:rPr>
          <w:rFonts w:hint="eastAsia" w:ascii="仿宋_GB2312" w:hAnsi="宋体" w:eastAsia="仿宋_GB2312" w:cstheme="minorBidi"/>
          <w:sz w:val="28"/>
          <w:szCs w:val="28"/>
          <w:lang w:val="en-US" w:eastAsia="zh-CN"/>
        </w:rPr>
        <w:t>4、</w:t>
      </w:r>
      <w:r>
        <w:rPr>
          <w:rFonts w:hint="eastAsia" w:ascii="仿宋_GB2312" w:hAnsi="宋体" w:eastAsia="仿宋_GB2312" w:cstheme="minorBidi"/>
          <w:sz w:val="28"/>
          <w:szCs w:val="28"/>
        </w:rPr>
        <w:t>可持续效益：工程使用年限大于15年。</w:t>
      </w:r>
    </w:p>
    <w:p>
      <w:pPr>
        <w:spacing w:line="300" w:lineRule="auto"/>
        <w:ind w:firstLine="562" w:firstLineChars="200"/>
        <w:rPr>
          <w:rFonts w:hint="eastAsia"/>
          <w:b/>
          <w:bCs/>
          <w:sz w:val="28"/>
          <w:szCs w:val="28"/>
        </w:rPr>
      </w:pPr>
      <w:r>
        <w:rPr>
          <w:rFonts w:hint="eastAsia"/>
          <w:b/>
          <w:bCs/>
          <w:sz w:val="28"/>
          <w:szCs w:val="28"/>
        </w:rPr>
        <w:t>（五）</w:t>
      </w:r>
      <w:r>
        <w:rPr>
          <w:rFonts w:hint="eastAsia" w:ascii="宋体" w:hAnsi="宋体" w:cs="宋体"/>
          <w:b/>
          <w:bCs/>
          <w:kern w:val="0"/>
          <w:sz w:val="28"/>
          <w:szCs w:val="28"/>
          <w:lang w:val="en-US" w:eastAsia="zh-CN"/>
        </w:rPr>
        <w:t>项目申报及完成投资情况</w:t>
      </w:r>
    </w:p>
    <w:p>
      <w:pPr>
        <w:spacing w:line="300" w:lineRule="auto"/>
        <w:ind w:firstLine="560" w:firstLineChars="200"/>
        <w:jc w:val="both"/>
        <w:rPr>
          <w:rFonts w:hint="eastAsia" w:ascii="仿宋_GB2312" w:eastAsia="仿宋_GB2312"/>
          <w:sz w:val="28"/>
          <w:szCs w:val="28"/>
          <w:lang w:val="en-US" w:eastAsia="zh-CN"/>
        </w:rPr>
      </w:pPr>
      <w:r>
        <w:rPr>
          <w:rFonts w:hint="eastAsia" w:ascii="仿宋_GB2312" w:eastAsia="仿宋_GB2312"/>
          <w:sz w:val="28"/>
          <w:szCs w:val="28"/>
          <w:lang w:val="en-US" w:eastAsia="zh-CN"/>
        </w:rPr>
        <w:t>1、项目申报投资。项目申报</w:t>
      </w:r>
      <w:r>
        <w:rPr>
          <w:rFonts w:hint="eastAsia" w:ascii="仿宋_GB2312" w:eastAsia="仿宋_GB2312"/>
          <w:sz w:val="28"/>
          <w:szCs w:val="28"/>
        </w:rPr>
        <w:t>投资</w:t>
      </w:r>
      <w:r>
        <w:rPr>
          <w:rFonts w:hint="eastAsia" w:ascii="仿宋_GB2312" w:eastAsia="仿宋_GB2312"/>
          <w:sz w:val="28"/>
          <w:szCs w:val="28"/>
          <w:lang w:val="en-US" w:eastAsia="zh-CN"/>
        </w:rPr>
        <w:t>1,500,000.00元，其中：财政衔接资金1,500,000.00元，其他资金0元。</w:t>
      </w:r>
    </w:p>
    <w:p>
      <w:pPr>
        <w:spacing w:line="300" w:lineRule="auto"/>
        <w:ind w:firstLine="560" w:firstLineChars="200"/>
        <w:rPr>
          <w:rFonts w:hint="default"/>
          <w:b/>
          <w:bCs/>
          <w:sz w:val="28"/>
          <w:szCs w:val="28"/>
          <w:lang w:val="en-US"/>
        </w:rPr>
      </w:pPr>
      <w:r>
        <w:rPr>
          <w:rFonts w:hint="eastAsia" w:ascii="仿宋_GB2312" w:eastAsia="仿宋_GB2312"/>
          <w:sz w:val="28"/>
          <w:szCs w:val="28"/>
          <w:lang w:val="en-US" w:eastAsia="zh-CN"/>
        </w:rPr>
        <w:t>2、项目完成投资。</w:t>
      </w:r>
      <w:r>
        <w:rPr>
          <w:rFonts w:hint="eastAsia" w:ascii="仿宋_GB2312" w:hAnsi="宋体" w:eastAsia="仿宋_GB2312"/>
          <w:sz w:val="28"/>
          <w:szCs w:val="28"/>
          <w:lang w:val="en-US" w:eastAsia="zh-CN"/>
        </w:rPr>
        <w:t>经审查：</w:t>
      </w:r>
      <w:r>
        <w:rPr>
          <w:rFonts w:hint="eastAsia" w:ascii="仿宋_GB2312" w:eastAsia="仿宋_GB2312"/>
          <w:sz w:val="28"/>
          <w:szCs w:val="28"/>
          <w:lang w:val="en-US" w:eastAsia="zh-CN"/>
        </w:rPr>
        <w:t>项目工程审定投资1,528,812.55元。未见单位中报其他费用。</w:t>
      </w:r>
    </w:p>
    <w:p>
      <w:pPr>
        <w:spacing w:line="300" w:lineRule="auto"/>
        <w:ind w:firstLine="562" w:firstLineChars="200"/>
        <w:rPr>
          <w:b/>
          <w:bCs/>
          <w:sz w:val="28"/>
          <w:szCs w:val="28"/>
        </w:rPr>
      </w:pPr>
      <w:r>
        <w:rPr>
          <w:rFonts w:hint="eastAsia"/>
          <w:b/>
          <w:bCs/>
          <w:sz w:val="28"/>
          <w:szCs w:val="28"/>
          <w:lang w:eastAsia="zh-CN"/>
        </w:rPr>
        <w:t>（</w:t>
      </w:r>
      <w:r>
        <w:rPr>
          <w:rFonts w:hint="eastAsia"/>
          <w:b/>
          <w:bCs/>
          <w:sz w:val="28"/>
          <w:szCs w:val="28"/>
          <w:lang w:val="en-US" w:eastAsia="zh-CN"/>
        </w:rPr>
        <w:t>六）项目</w:t>
      </w:r>
      <w:r>
        <w:rPr>
          <w:rFonts w:hint="eastAsia"/>
          <w:b/>
          <w:bCs/>
          <w:sz w:val="28"/>
          <w:szCs w:val="28"/>
        </w:rPr>
        <w:t>资金</w:t>
      </w:r>
      <w:r>
        <w:rPr>
          <w:rFonts w:hint="eastAsia"/>
          <w:b/>
          <w:bCs/>
          <w:sz w:val="28"/>
          <w:szCs w:val="28"/>
          <w:lang w:val="en-US" w:eastAsia="zh-CN"/>
        </w:rPr>
        <w:t>收</w:t>
      </w:r>
      <w:r>
        <w:rPr>
          <w:rFonts w:hint="eastAsia"/>
          <w:b/>
          <w:bCs/>
          <w:sz w:val="28"/>
          <w:szCs w:val="28"/>
        </w:rPr>
        <w:t>付情况</w:t>
      </w:r>
    </w:p>
    <w:p>
      <w:pPr>
        <w:widowControl/>
        <w:spacing w:line="300" w:lineRule="auto"/>
        <w:ind w:firstLine="560" w:firstLineChars="200"/>
        <w:jc w:val="left"/>
        <w:rPr>
          <w:rFonts w:ascii="仿宋_GB2312" w:hAnsi="宋体" w:eastAsia="仿宋_GB2312"/>
          <w:sz w:val="28"/>
          <w:szCs w:val="28"/>
        </w:rPr>
      </w:pPr>
      <w:bookmarkStart w:id="3" w:name="_Hlk152699962"/>
      <w:r>
        <w:rPr>
          <w:rFonts w:hint="eastAsia" w:ascii="仿宋_GB2312" w:hAnsi="宋体" w:eastAsia="仿宋_GB2312"/>
          <w:sz w:val="28"/>
          <w:szCs w:val="28"/>
        </w:rPr>
        <w:t>临空经济区乡村振兴财政衔接资金，采取财政直达方式，直接拨付至用款单位。</w:t>
      </w:r>
    </w:p>
    <w:bookmarkEnd w:id="3"/>
    <w:p>
      <w:pPr>
        <w:widowControl/>
        <w:spacing w:line="300" w:lineRule="auto"/>
        <w:ind w:firstLine="560" w:firstLineChars="200"/>
        <w:jc w:val="left"/>
        <w:rPr>
          <w:rFonts w:ascii="仿宋_GB2312" w:hAnsi="宋体" w:eastAsia="仿宋_GB2312"/>
          <w:sz w:val="28"/>
          <w:szCs w:val="28"/>
        </w:rPr>
      </w:pPr>
      <w:r>
        <w:rPr>
          <w:rFonts w:hint="eastAsia" w:ascii="仿宋_GB2312" w:hAnsi="宋体" w:eastAsia="仿宋_GB2312"/>
          <w:sz w:val="28"/>
          <w:szCs w:val="28"/>
        </w:rPr>
        <w:t>截至</w:t>
      </w:r>
      <w:r>
        <w:rPr>
          <w:rFonts w:ascii="仿宋_GB2312" w:hAnsi="宋体" w:eastAsia="仿宋_GB2312"/>
          <w:sz w:val="28"/>
          <w:szCs w:val="28"/>
        </w:rPr>
        <w:t>2023</w:t>
      </w:r>
      <w:r>
        <w:rPr>
          <w:rFonts w:hint="eastAsia" w:ascii="仿宋_GB2312" w:hAnsi="宋体" w:eastAsia="仿宋_GB2312"/>
          <w:sz w:val="28"/>
          <w:szCs w:val="28"/>
        </w:rPr>
        <w:t>年</w:t>
      </w:r>
      <w:r>
        <w:rPr>
          <w:rFonts w:ascii="仿宋_GB2312" w:hAnsi="宋体" w:eastAsia="仿宋_GB2312"/>
          <w:sz w:val="28"/>
          <w:szCs w:val="28"/>
        </w:rPr>
        <w:t>11</w:t>
      </w:r>
      <w:r>
        <w:rPr>
          <w:rFonts w:hint="eastAsia" w:ascii="仿宋_GB2312" w:hAnsi="宋体" w:eastAsia="仿宋_GB2312"/>
          <w:sz w:val="28"/>
          <w:szCs w:val="28"/>
        </w:rPr>
        <w:t>月30日，</w:t>
      </w:r>
      <w:r>
        <w:rPr>
          <w:rFonts w:hint="eastAsia" w:ascii="仿宋" w:hAnsi="仿宋" w:eastAsia="仿宋" w:cs="仿宋"/>
          <w:color w:val="000000" w:themeColor="text1"/>
          <w:sz w:val="30"/>
          <w:szCs w:val="30"/>
        </w:rPr>
        <w:t>赵寨村冯家径至沙窝村朝垅道路硬化工程项目</w:t>
      </w:r>
      <w:r>
        <w:rPr>
          <w:rFonts w:hint="eastAsia" w:ascii="仿宋_GB2312" w:hAnsi="宋体" w:eastAsia="仿宋_GB2312"/>
          <w:sz w:val="28"/>
          <w:szCs w:val="28"/>
        </w:rPr>
        <w:t>，财政衔接资金</w:t>
      </w:r>
      <w:r>
        <w:rPr>
          <w:rFonts w:ascii="仿宋_GB2312" w:hAnsi="宋体" w:eastAsia="仿宋_GB2312"/>
          <w:sz w:val="28"/>
          <w:szCs w:val="28"/>
        </w:rPr>
        <w:t>1,500</w:t>
      </w:r>
      <w:r>
        <w:rPr>
          <w:rFonts w:hint="eastAsia" w:ascii="仿宋_GB2312" w:hAnsi="宋体" w:eastAsia="仿宋_GB2312"/>
          <w:sz w:val="28"/>
          <w:szCs w:val="28"/>
        </w:rPr>
        <w:t>,</w:t>
      </w:r>
      <w:r>
        <w:rPr>
          <w:rFonts w:ascii="仿宋_GB2312" w:hAnsi="宋体" w:eastAsia="仿宋_GB2312"/>
          <w:sz w:val="28"/>
          <w:szCs w:val="28"/>
        </w:rPr>
        <w:t>000</w:t>
      </w:r>
      <w:r>
        <w:rPr>
          <w:rFonts w:hint="eastAsia" w:ascii="仿宋_GB2312" w:hAnsi="宋体" w:eastAsia="仿宋_GB2312"/>
          <w:sz w:val="28"/>
          <w:szCs w:val="28"/>
        </w:rPr>
        <w:t>.00元，已经全部拨付至施工单位湖北振燕兴建设工程有限公司。</w:t>
      </w:r>
    </w:p>
    <w:p>
      <w:pPr>
        <w:widowControl/>
        <w:spacing w:line="300" w:lineRule="auto"/>
        <w:ind w:firstLine="413" w:firstLineChars="147"/>
        <w:jc w:val="left"/>
        <w:rPr>
          <w:rFonts w:ascii="宋体" w:hAnsi="宋体" w:cs="宋体"/>
          <w:b/>
          <w:bCs/>
          <w:kern w:val="0"/>
          <w:sz w:val="28"/>
          <w:szCs w:val="28"/>
        </w:rPr>
      </w:pPr>
      <w:r>
        <w:rPr>
          <w:rFonts w:hint="eastAsia" w:ascii="宋体" w:hAnsi="宋体" w:cs="宋体"/>
          <w:b/>
          <w:bCs/>
          <w:kern w:val="0"/>
          <w:sz w:val="28"/>
          <w:szCs w:val="28"/>
        </w:rPr>
        <w:t>二、绩效评价工作情况</w:t>
      </w:r>
    </w:p>
    <w:p>
      <w:pPr>
        <w:widowControl/>
        <w:spacing w:line="300" w:lineRule="auto"/>
        <w:ind w:firstLine="413" w:firstLineChars="147"/>
        <w:jc w:val="left"/>
        <w:rPr>
          <w:rFonts w:ascii="宋体" w:hAnsi="宋体" w:cs="宋体"/>
          <w:b/>
          <w:bCs/>
          <w:kern w:val="0"/>
          <w:sz w:val="28"/>
          <w:szCs w:val="28"/>
        </w:rPr>
      </w:pPr>
      <w:r>
        <w:rPr>
          <w:rFonts w:hint="eastAsia" w:ascii="宋体" w:hAnsi="宋体" w:cs="宋体"/>
          <w:b/>
          <w:bCs/>
          <w:kern w:val="0"/>
          <w:sz w:val="28"/>
          <w:szCs w:val="28"/>
        </w:rPr>
        <w:t>（一）绩效评价目的</w:t>
      </w:r>
    </w:p>
    <w:p>
      <w:pPr>
        <w:spacing w:line="300" w:lineRule="auto"/>
        <w:ind w:firstLine="560" w:firstLineChars="200"/>
        <w:rPr>
          <w:rFonts w:ascii="仿宋_GB2312" w:hAnsi="宋体" w:eastAsia="仿宋_GB2312"/>
          <w:sz w:val="28"/>
          <w:szCs w:val="28"/>
        </w:rPr>
      </w:pPr>
      <w:r>
        <w:rPr>
          <w:rFonts w:hint="eastAsia" w:ascii="仿宋_GB2312" w:hAnsi="宋体" w:eastAsia="仿宋_GB2312"/>
          <w:sz w:val="28"/>
          <w:szCs w:val="28"/>
        </w:rPr>
        <w:t>通过本次评价，旨在全面了解</w:t>
      </w:r>
      <w:r>
        <w:rPr>
          <w:rFonts w:hint="eastAsia" w:ascii="仿宋" w:hAnsi="仿宋" w:eastAsia="仿宋" w:cs="仿宋"/>
          <w:color w:val="000000" w:themeColor="text1"/>
          <w:sz w:val="30"/>
          <w:szCs w:val="30"/>
        </w:rPr>
        <w:t>赵寨村冯家径至沙窝村朝垅道路硬化工程项目</w:t>
      </w:r>
      <w:r>
        <w:rPr>
          <w:rFonts w:hint="eastAsia" w:ascii="仿宋_GB2312" w:hAnsi="宋体" w:eastAsia="仿宋_GB2312"/>
          <w:sz w:val="28"/>
          <w:szCs w:val="28"/>
        </w:rPr>
        <w:t>情况、财政衔接资金拨付和使用情况以及取得的综合绩效。同时通过对项目资金绩效评价，形成真实完整、数据准确、分析透彻、逻辑清晰客观公正的绩效评价结论，为后期临空经济区财政金融局强化预算绩效管理提供重要依据，发现项目实施的困难和问题，总结项目实施的经验和教训，为项目实施的进一步深化提供有益帮助。</w:t>
      </w:r>
    </w:p>
    <w:p>
      <w:pPr>
        <w:widowControl/>
        <w:spacing w:line="300" w:lineRule="auto"/>
        <w:ind w:firstLine="413" w:firstLineChars="147"/>
        <w:jc w:val="left"/>
        <w:rPr>
          <w:rFonts w:ascii="宋体" w:hAnsi="宋体" w:cs="宋体"/>
          <w:b/>
          <w:bCs/>
          <w:kern w:val="0"/>
          <w:sz w:val="28"/>
          <w:szCs w:val="28"/>
        </w:rPr>
      </w:pPr>
      <w:r>
        <w:rPr>
          <w:rFonts w:hint="eastAsia" w:ascii="宋体" w:hAnsi="宋体" w:cs="宋体"/>
          <w:b/>
          <w:bCs/>
          <w:kern w:val="0"/>
          <w:sz w:val="28"/>
          <w:szCs w:val="28"/>
        </w:rPr>
        <w:t>（二）评价对象与范围</w:t>
      </w:r>
    </w:p>
    <w:p>
      <w:pPr>
        <w:spacing w:line="300" w:lineRule="auto"/>
        <w:ind w:firstLine="560" w:firstLineChars="200"/>
        <w:rPr>
          <w:rFonts w:ascii="仿宋_GB2312" w:hAnsi="宋体" w:eastAsia="仿宋_GB2312"/>
          <w:sz w:val="28"/>
          <w:szCs w:val="28"/>
        </w:rPr>
      </w:pPr>
      <w:r>
        <w:rPr>
          <w:rFonts w:hint="eastAsia" w:ascii="仿宋_GB2312" w:hAnsi="宋体" w:eastAsia="仿宋_GB2312"/>
          <w:sz w:val="28"/>
          <w:szCs w:val="28"/>
        </w:rPr>
        <w:t>本次资金绩效评价对象与范围为：</w:t>
      </w:r>
      <w:r>
        <w:rPr>
          <w:rFonts w:hint="eastAsia" w:ascii="仿宋" w:hAnsi="仿宋" w:eastAsia="仿宋" w:cs="仿宋"/>
          <w:color w:val="000000" w:themeColor="text1"/>
          <w:sz w:val="30"/>
          <w:szCs w:val="30"/>
        </w:rPr>
        <w:t>赵寨村冯家径至沙窝村朝垅道路硬化工程项目</w:t>
      </w:r>
      <w:r>
        <w:rPr>
          <w:rFonts w:hint="eastAsia" w:ascii="仿宋_GB2312" w:hAnsi="宋体" w:eastAsia="仿宋_GB2312"/>
          <w:sz w:val="28"/>
          <w:szCs w:val="28"/>
        </w:rPr>
        <w:t>财政衔接资金</w:t>
      </w:r>
      <w:r>
        <w:rPr>
          <w:rFonts w:ascii="仿宋_GB2312" w:hAnsi="宋体" w:eastAsia="仿宋_GB2312"/>
          <w:sz w:val="28"/>
          <w:szCs w:val="28"/>
        </w:rPr>
        <w:t>150</w:t>
      </w:r>
      <w:r>
        <w:rPr>
          <w:rFonts w:hint="eastAsia" w:ascii="仿宋_GB2312" w:hAnsi="宋体" w:eastAsia="仿宋_GB2312"/>
          <w:sz w:val="28"/>
          <w:szCs w:val="28"/>
        </w:rPr>
        <w:t>万元的拨付和使用情况。</w:t>
      </w:r>
    </w:p>
    <w:p>
      <w:pPr>
        <w:widowControl/>
        <w:spacing w:line="300" w:lineRule="auto"/>
        <w:ind w:firstLine="540" w:firstLineChars="192"/>
        <w:jc w:val="left"/>
        <w:rPr>
          <w:rFonts w:ascii="仿宋_GB2312" w:hAnsi="宋体" w:eastAsia="仿宋_GB2312"/>
          <w:sz w:val="28"/>
          <w:szCs w:val="28"/>
        </w:rPr>
      </w:pPr>
      <w:r>
        <w:rPr>
          <w:rFonts w:hint="eastAsia" w:ascii="宋体" w:hAnsi="宋体" w:cs="宋体"/>
          <w:b/>
          <w:bCs/>
          <w:kern w:val="0"/>
          <w:sz w:val="28"/>
          <w:szCs w:val="28"/>
        </w:rPr>
        <w:t>二、评价结论</w:t>
      </w:r>
    </w:p>
    <w:p>
      <w:pPr>
        <w:widowControl/>
        <w:spacing w:line="300" w:lineRule="auto"/>
        <w:ind w:firstLine="413" w:firstLineChars="147"/>
        <w:jc w:val="left"/>
        <w:rPr>
          <w:rFonts w:ascii="宋体" w:hAnsi="宋体" w:cs="宋体"/>
          <w:b/>
          <w:bCs/>
          <w:kern w:val="0"/>
          <w:sz w:val="28"/>
          <w:szCs w:val="28"/>
        </w:rPr>
      </w:pPr>
      <w:r>
        <w:rPr>
          <w:rFonts w:hint="eastAsia" w:ascii="宋体" w:hAnsi="宋体" w:cs="宋体"/>
          <w:b/>
          <w:bCs/>
          <w:kern w:val="0"/>
          <w:sz w:val="28"/>
          <w:szCs w:val="28"/>
        </w:rPr>
        <w:t>（一）评分结果</w:t>
      </w:r>
    </w:p>
    <w:p>
      <w:pPr>
        <w:spacing w:line="300" w:lineRule="auto"/>
        <w:ind w:firstLine="560" w:firstLineChars="200"/>
        <w:rPr>
          <w:rFonts w:ascii="仿宋_GB2312" w:hAnsi="宋体" w:eastAsia="仿宋_GB2312"/>
          <w:sz w:val="28"/>
          <w:szCs w:val="28"/>
        </w:rPr>
      </w:pPr>
      <w:r>
        <w:rPr>
          <w:rFonts w:hint="eastAsia" w:ascii="仿宋_GB2312" w:hAnsi="宋体" w:eastAsia="仿宋_GB2312"/>
          <w:sz w:val="28"/>
          <w:szCs w:val="28"/>
        </w:rPr>
        <w:t>赵寨村冯家径至沙窝村朝垅道路硬化工程项目财政衔接资金绩效评价采用了成本效益分析法、目标比较法、因素分析法、问卷调查法等方法，按照财政衔接推进乡村振兴补助目标核实了项目实际执行情况。通过检查项目收入支出情况、现场勘察、走访访谈等形式进行综合评价，通过定量分析与定性分析得出综合评价结果。</w:t>
      </w:r>
    </w:p>
    <w:p>
      <w:pPr>
        <w:spacing w:line="300" w:lineRule="auto"/>
        <w:ind w:firstLine="560" w:firstLineChars="200"/>
        <w:rPr>
          <w:rFonts w:hint="eastAsia" w:ascii="仿宋_GB2312" w:hAnsi="宋体" w:eastAsia="仿宋_GB2312"/>
          <w:sz w:val="28"/>
          <w:szCs w:val="28"/>
        </w:rPr>
      </w:pPr>
      <w:r>
        <w:rPr>
          <w:rFonts w:hint="eastAsia" w:ascii="仿宋_GB2312" w:hAnsi="宋体" w:eastAsia="仿宋_GB2312"/>
          <w:sz w:val="28"/>
          <w:szCs w:val="28"/>
        </w:rPr>
        <w:t>经评价工作组评定，赵寨村冯家径至沙窝村朝垅道路硬化工程项目财政衔接资金绩效评价综合得分为</w:t>
      </w:r>
      <w:r>
        <w:rPr>
          <w:rFonts w:hint="eastAsia" w:ascii="仿宋_GB2312" w:hAnsi="宋体" w:eastAsia="仿宋_GB2312"/>
          <w:sz w:val="28"/>
          <w:szCs w:val="28"/>
          <w:lang w:val="en-US" w:eastAsia="zh-CN"/>
        </w:rPr>
        <w:t>92</w:t>
      </w:r>
      <w:r>
        <w:rPr>
          <w:rFonts w:hint="eastAsia" w:ascii="仿宋_GB2312" w:hAnsi="宋体" w:eastAsia="仿宋_GB2312"/>
          <w:sz w:val="28"/>
          <w:szCs w:val="28"/>
        </w:rPr>
        <w:t>分，绩效等级为</w:t>
      </w:r>
      <w:r>
        <w:rPr>
          <w:rFonts w:hint="eastAsia" w:ascii="仿宋_GB2312" w:hAnsi="宋体" w:eastAsia="仿宋_GB2312"/>
          <w:sz w:val="28"/>
          <w:szCs w:val="28"/>
          <w:lang w:val="en-US" w:eastAsia="zh-CN"/>
        </w:rPr>
        <w:t>优</w:t>
      </w:r>
      <w:r>
        <w:rPr>
          <w:rFonts w:hint="eastAsia" w:ascii="仿宋_GB2312" w:hAnsi="宋体" w:eastAsia="仿宋_GB2312"/>
          <w:sz w:val="28"/>
          <w:szCs w:val="28"/>
        </w:rPr>
        <w:t>。</w:t>
      </w:r>
    </w:p>
    <w:tbl>
      <w:tblPr>
        <w:tblStyle w:val="9"/>
        <w:tblW w:w="8700" w:type="dxa"/>
        <w:tblInd w:w="96" w:type="dxa"/>
        <w:tblLayout w:type="fixed"/>
        <w:tblCellMar>
          <w:top w:w="0" w:type="dxa"/>
          <w:left w:w="108" w:type="dxa"/>
          <w:bottom w:w="0" w:type="dxa"/>
          <w:right w:w="108" w:type="dxa"/>
        </w:tblCellMar>
      </w:tblPr>
      <w:tblGrid>
        <w:gridCol w:w="753"/>
        <w:gridCol w:w="528"/>
        <w:gridCol w:w="1567"/>
        <w:gridCol w:w="528"/>
        <w:gridCol w:w="2179"/>
        <w:gridCol w:w="538"/>
        <w:gridCol w:w="548"/>
        <w:gridCol w:w="2059"/>
      </w:tblGrid>
      <w:tr>
        <w:tblPrEx>
          <w:tblCellMar>
            <w:top w:w="0" w:type="dxa"/>
            <w:left w:w="108" w:type="dxa"/>
            <w:bottom w:w="0" w:type="dxa"/>
            <w:right w:w="108" w:type="dxa"/>
          </w:tblCellMar>
        </w:tblPrEx>
        <w:trPr>
          <w:trHeight w:val="288" w:hRule="atLeast"/>
        </w:trPr>
        <w:tc>
          <w:tcPr>
            <w:tcW w:w="8700" w:type="dxa"/>
            <w:gridSpan w:val="8"/>
            <w:tcBorders>
              <w:top w:val="nil"/>
              <w:left w:val="nil"/>
              <w:bottom w:val="nil"/>
              <w:right w:val="nil"/>
            </w:tcBorders>
            <w:noWrap/>
            <w:vAlign w:val="center"/>
          </w:tcPr>
          <w:p>
            <w:pPr>
              <w:keepNext w:val="0"/>
              <w:keepLines w:val="0"/>
              <w:widowControl/>
              <w:suppressLineNumbers w:val="0"/>
              <w:jc w:val="center"/>
              <w:textAlignment w:val="center"/>
              <w:rPr>
                <w:rFonts w:ascii="宋体" w:hAnsi="宋体" w:cs="宋体"/>
                <w:color w:val="000000"/>
                <w:kern w:val="0"/>
                <w:sz w:val="22"/>
                <w:szCs w:val="22"/>
                <w:highlight w:val="yellow"/>
                <w:lang w:bidi="ar"/>
              </w:rPr>
            </w:pPr>
            <w:r>
              <w:rPr>
                <w:rFonts w:hint="eastAsia" w:ascii="宋体" w:hAnsi="宋体" w:eastAsia="宋体" w:cs="宋体"/>
                <w:b/>
                <w:bCs/>
                <w:i w:val="0"/>
                <w:iCs w:val="0"/>
                <w:color w:val="000000"/>
                <w:kern w:val="0"/>
                <w:sz w:val="28"/>
                <w:szCs w:val="28"/>
                <w:u w:val="none"/>
                <w:lang w:val="en-US" w:eastAsia="zh-CN" w:bidi="ar"/>
              </w:rPr>
              <w:t>沙窝乡赵寨村冯家径至沙窝村朝垅道路硬化项目评分和得分简表</w:t>
            </w:r>
          </w:p>
        </w:tc>
      </w:tr>
      <w:tr>
        <w:tblPrEx>
          <w:tblCellMar>
            <w:top w:w="0" w:type="dxa"/>
            <w:left w:w="108" w:type="dxa"/>
            <w:bottom w:w="0" w:type="dxa"/>
            <w:right w:w="108" w:type="dxa"/>
          </w:tblCellMar>
        </w:tblPrEx>
        <w:trPr>
          <w:trHeight w:val="288" w:hRule="atLeast"/>
        </w:trPr>
        <w:tc>
          <w:tcPr>
            <w:tcW w:w="75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宋体" w:hAnsi="宋体" w:cs="宋体"/>
                <w:b/>
                <w:bCs/>
                <w:color w:val="000000"/>
                <w:sz w:val="20"/>
                <w:szCs w:val="20"/>
              </w:rPr>
            </w:pPr>
            <w:r>
              <w:rPr>
                <w:rFonts w:hint="eastAsia" w:ascii="宋体" w:hAnsi="宋体" w:eastAsia="宋体" w:cs="宋体"/>
                <w:b/>
                <w:bCs/>
                <w:i w:val="0"/>
                <w:iCs w:val="0"/>
                <w:color w:val="000000"/>
                <w:kern w:val="0"/>
                <w:sz w:val="20"/>
                <w:szCs w:val="20"/>
                <w:u w:val="none"/>
                <w:lang w:val="en-US" w:eastAsia="zh-CN" w:bidi="ar"/>
              </w:rPr>
              <w:t>一级指标</w:t>
            </w:r>
          </w:p>
        </w:tc>
        <w:tc>
          <w:tcPr>
            <w:tcW w:w="52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宋体" w:hAnsi="宋体" w:cs="宋体"/>
                <w:b/>
                <w:bCs/>
                <w:color w:val="000000"/>
                <w:sz w:val="20"/>
                <w:szCs w:val="20"/>
              </w:rPr>
            </w:pPr>
            <w:r>
              <w:rPr>
                <w:rFonts w:hint="eastAsia" w:ascii="宋体" w:hAnsi="宋体" w:eastAsia="宋体" w:cs="宋体"/>
                <w:b/>
                <w:bCs/>
                <w:i w:val="0"/>
                <w:iCs w:val="0"/>
                <w:color w:val="000000"/>
                <w:kern w:val="0"/>
                <w:sz w:val="20"/>
                <w:szCs w:val="20"/>
                <w:u w:val="none"/>
                <w:lang w:val="en-US" w:eastAsia="zh-CN" w:bidi="ar"/>
              </w:rPr>
              <w:t>分值</w:t>
            </w:r>
          </w:p>
        </w:tc>
        <w:tc>
          <w:tcPr>
            <w:tcW w:w="156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宋体" w:hAnsi="宋体" w:cs="宋体"/>
                <w:b/>
                <w:bCs/>
                <w:color w:val="000000"/>
                <w:sz w:val="20"/>
                <w:szCs w:val="20"/>
              </w:rPr>
            </w:pPr>
            <w:r>
              <w:rPr>
                <w:rFonts w:hint="eastAsia" w:ascii="宋体" w:hAnsi="宋体" w:eastAsia="宋体" w:cs="宋体"/>
                <w:b/>
                <w:bCs/>
                <w:i w:val="0"/>
                <w:iCs w:val="0"/>
                <w:color w:val="000000"/>
                <w:kern w:val="0"/>
                <w:sz w:val="20"/>
                <w:szCs w:val="20"/>
                <w:u w:val="none"/>
                <w:lang w:val="en-US" w:eastAsia="zh-CN" w:bidi="ar"/>
              </w:rPr>
              <w:t>二级指标</w:t>
            </w:r>
          </w:p>
        </w:tc>
        <w:tc>
          <w:tcPr>
            <w:tcW w:w="52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宋体" w:hAnsi="宋体" w:cs="宋体"/>
                <w:b/>
                <w:bCs/>
                <w:color w:val="000000"/>
                <w:sz w:val="20"/>
                <w:szCs w:val="20"/>
              </w:rPr>
            </w:pPr>
            <w:r>
              <w:rPr>
                <w:rFonts w:hint="eastAsia" w:ascii="宋体" w:hAnsi="宋体" w:eastAsia="宋体" w:cs="宋体"/>
                <w:b/>
                <w:bCs/>
                <w:i w:val="0"/>
                <w:iCs w:val="0"/>
                <w:color w:val="000000"/>
                <w:kern w:val="0"/>
                <w:sz w:val="20"/>
                <w:szCs w:val="20"/>
                <w:u w:val="none"/>
                <w:lang w:val="en-US" w:eastAsia="zh-CN" w:bidi="ar"/>
              </w:rPr>
              <w:t>分值</w:t>
            </w:r>
          </w:p>
        </w:tc>
        <w:tc>
          <w:tcPr>
            <w:tcW w:w="217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宋体" w:hAnsi="宋体" w:cs="宋体"/>
                <w:b/>
                <w:bCs/>
                <w:color w:val="000000"/>
                <w:sz w:val="20"/>
                <w:szCs w:val="20"/>
              </w:rPr>
            </w:pPr>
            <w:r>
              <w:rPr>
                <w:rFonts w:hint="eastAsia" w:ascii="宋体" w:hAnsi="宋体" w:eastAsia="宋体" w:cs="宋体"/>
                <w:b/>
                <w:bCs/>
                <w:i w:val="0"/>
                <w:iCs w:val="0"/>
                <w:color w:val="000000"/>
                <w:kern w:val="0"/>
                <w:sz w:val="20"/>
                <w:szCs w:val="20"/>
                <w:u w:val="none"/>
                <w:lang w:val="en-US" w:eastAsia="zh-CN" w:bidi="ar"/>
              </w:rPr>
              <w:t>三级指标</w:t>
            </w:r>
          </w:p>
        </w:tc>
        <w:tc>
          <w:tcPr>
            <w:tcW w:w="53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宋体" w:hAnsi="宋体" w:cs="宋体"/>
                <w:b/>
                <w:bCs/>
                <w:color w:val="000000"/>
                <w:sz w:val="20"/>
                <w:szCs w:val="20"/>
              </w:rPr>
            </w:pPr>
            <w:r>
              <w:rPr>
                <w:rFonts w:hint="eastAsia" w:ascii="宋体" w:hAnsi="宋体" w:eastAsia="宋体" w:cs="宋体"/>
                <w:b/>
                <w:bCs/>
                <w:i w:val="0"/>
                <w:iCs w:val="0"/>
                <w:color w:val="000000"/>
                <w:kern w:val="0"/>
                <w:sz w:val="20"/>
                <w:szCs w:val="20"/>
                <w:u w:val="none"/>
                <w:lang w:val="en-US" w:eastAsia="zh-CN" w:bidi="ar"/>
              </w:rPr>
              <w:t>分值</w:t>
            </w:r>
          </w:p>
        </w:tc>
        <w:tc>
          <w:tcPr>
            <w:tcW w:w="54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宋体" w:hAnsi="宋体" w:cs="宋体"/>
                <w:b/>
                <w:bCs/>
                <w:color w:val="000000"/>
                <w:sz w:val="20"/>
                <w:szCs w:val="20"/>
                <w:highlight w:val="yellow"/>
              </w:rPr>
            </w:pPr>
            <w:r>
              <w:rPr>
                <w:rFonts w:hint="eastAsia" w:ascii="宋体" w:hAnsi="宋体" w:eastAsia="宋体" w:cs="宋体"/>
                <w:i w:val="0"/>
                <w:iCs w:val="0"/>
                <w:color w:val="000000"/>
                <w:kern w:val="0"/>
                <w:sz w:val="20"/>
                <w:szCs w:val="20"/>
                <w:u w:val="none"/>
                <w:lang w:val="en-US" w:eastAsia="zh-CN" w:bidi="ar"/>
              </w:rPr>
              <w:t>得分</w:t>
            </w:r>
          </w:p>
        </w:tc>
        <w:tc>
          <w:tcPr>
            <w:tcW w:w="205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宋体" w:hAnsi="宋体" w:cs="宋体"/>
                <w:b/>
                <w:bCs/>
                <w:color w:val="000000"/>
                <w:sz w:val="20"/>
                <w:szCs w:val="20"/>
                <w:highlight w:val="yellow"/>
              </w:rPr>
            </w:pPr>
            <w:r>
              <w:rPr>
                <w:rFonts w:hint="eastAsia" w:ascii="宋体" w:hAnsi="宋体" w:eastAsia="宋体" w:cs="宋体"/>
                <w:i w:val="0"/>
                <w:iCs w:val="0"/>
                <w:color w:val="000000"/>
                <w:kern w:val="0"/>
                <w:sz w:val="20"/>
                <w:szCs w:val="20"/>
                <w:u w:val="none"/>
                <w:lang w:val="en-US" w:eastAsia="zh-CN" w:bidi="ar"/>
              </w:rPr>
              <w:t>失分原因</w:t>
            </w:r>
          </w:p>
        </w:tc>
      </w:tr>
      <w:tr>
        <w:tblPrEx>
          <w:tblCellMar>
            <w:top w:w="0" w:type="dxa"/>
            <w:left w:w="108" w:type="dxa"/>
            <w:bottom w:w="0" w:type="dxa"/>
            <w:right w:w="108" w:type="dxa"/>
          </w:tblCellMar>
        </w:tblPrEx>
        <w:trPr>
          <w:trHeight w:val="288" w:hRule="atLeast"/>
        </w:trPr>
        <w:tc>
          <w:tcPr>
            <w:tcW w:w="75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决策</w:t>
            </w:r>
          </w:p>
        </w:tc>
        <w:tc>
          <w:tcPr>
            <w:tcW w:w="52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18</w:t>
            </w:r>
          </w:p>
        </w:tc>
        <w:tc>
          <w:tcPr>
            <w:tcW w:w="15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项目立项</w:t>
            </w:r>
          </w:p>
        </w:tc>
        <w:tc>
          <w:tcPr>
            <w:tcW w:w="52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6</w:t>
            </w:r>
          </w:p>
        </w:tc>
        <w:tc>
          <w:tcPr>
            <w:tcW w:w="21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立项依据充分性</w:t>
            </w:r>
          </w:p>
        </w:tc>
        <w:tc>
          <w:tcPr>
            <w:tcW w:w="5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2</w:t>
            </w:r>
          </w:p>
        </w:tc>
        <w:tc>
          <w:tcPr>
            <w:tcW w:w="5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ascii="宋体" w:hAnsi="宋体" w:cs="宋体"/>
                <w:color w:val="000000"/>
                <w:sz w:val="20"/>
                <w:szCs w:val="20"/>
                <w:highlight w:val="yellow"/>
              </w:rPr>
            </w:pPr>
            <w:r>
              <w:rPr>
                <w:rFonts w:hint="eastAsia" w:ascii="宋体" w:hAnsi="宋体" w:eastAsia="宋体" w:cs="宋体"/>
                <w:i w:val="0"/>
                <w:iCs w:val="0"/>
                <w:color w:val="000000"/>
                <w:kern w:val="0"/>
                <w:sz w:val="20"/>
                <w:szCs w:val="20"/>
                <w:u w:val="none"/>
                <w:lang w:val="en-US" w:eastAsia="zh-CN" w:bidi="ar"/>
              </w:rPr>
              <w:t>2</w:t>
            </w:r>
          </w:p>
        </w:tc>
        <w:tc>
          <w:tcPr>
            <w:tcW w:w="2059"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color w:val="000000"/>
                <w:sz w:val="20"/>
                <w:szCs w:val="20"/>
                <w:highlight w:val="yellow"/>
              </w:rPr>
            </w:pPr>
          </w:p>
        </w:tc>
      </w:tr>
      <w:tr>
        <w:tblPrEx>
          <w:tblCellMar>
            <w:top w:w="0" w:type="dxa"/>
            <w:left w:w="108" w:type="dxa"/>
            <w:bottom w:w="0" w:type="dxa"/>
            <w:right w:w="108" w:type="dxa"/>
          </w:tblCellMar>
        </w:tblPrEx>
        <w:trPr>
          <w:trHeight w:val="288" w:hRule="atLeast"/>
        </w:trPr>
        <w:tc>
          <w:tcPr>
            <w:tcW w:w="7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0"/>
                <w:szCs w:val="20"/>
              </w:rPr>
            </w:pPr>
          </w:p>
        </w:tc>
        <w:tc>
          <w:tcPr>
            <w:tcW w:w="15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0"/>
                <w:szCs w:val="20"/>
              </w:rPr>
            </w:pPr>
          </w:p>
        </w:tc>
        <w:tc>
          <w:tcPr>
            <w:tcW w:w="21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立项程序规范性</w:t>
            </w:r>
          </w:p>
        </w:tc>
        <w:tc>
          <w:tcPr>
            <w:tcW w:w="5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4</w:t>
            </w:r>
          </w:p>
        </w:tc>
        <w:tc>
          <w:tcPr>
            <w:tcW w:w="5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ascii="宋体" w:hAnsi="宋体" w:cs="宋体"/>
                <w:color w:val="000000"/>
                <w:sz w:val="20"/>
                <w:szCs w:val="20"/>
                <w:highlight w:val="yellow"/>
              </w:rPr>
            </w:pPr>
            <w:r>
              <w:rPr>
                <w:rFonts w:hint="eastAsia" w:ascii="宋体" w:hAnsi="宋体" w:eastAsia="宋体" w:cs="宋体"/>
                <w:i w:val="0"/>
                <w:iCs w:val="0"/>
                <w:color w:val="000000"/>
                <w:kern w:val="0"/>
                <w:sz w:val="20"/>
                <w:szCs w:val="20"/>
                <w:u w:val="none"/>
                <w:lang w:val="en-US" w:eastAsia="zh-CN" w:bidi="ar"/>
              </w:rPr>
              <w:t>4</w:t>
            </w:r>
          </w:p>
        </w:tc>
        <w:tc>
          <w:tcPr>
            <w:tcW w:w="2059"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color w:val="000000"/>
                <w:sz w:val="20"/>
                <w:szCs w:val="20"/>
                <w:highlight w:val="yellow"/>
              </w:rPr>
            </w:pPr>
          </w:p>
        </w:tc>
      </w:tr>
      <w:tr>
        <w:tblPrEx>
          <w:tblCellMar>
            <w:top w:w="0" w:type="dxa"/>
            <w:left w:w="108" w:type="dxa"/>
            <w:bottom w:w="0" w:type="dxa"/>
            <w:right w:w="108" w:type="dxa"/>
          </w:tblCellMar>
        </w:tblPrEx>
        <w:trPr>
          <w:trHeight w:val="288" w:hRule="atLeast"/>
        </w:trPr>
        <w:tc>
          <w:tcPr>
            <w:tcW w:w="75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528"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000000"/>
                <w:sz w:val="20"/>
                <w:szCs w:val="20"/>
              </w:rPr>
            </w:pPr>
          </w:p>
        </w:tc>
        <w:tc>
          <w:tcPr>
            <w:tcW w:w="156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绩效目标</w:t>
            </w:r>
          </w:p>
        </w:tc>
        <w:tc>
          <w:tcPr>
            <w:tcW w:w="528"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7</w:t>
            </w:r>
          </w:p>
        </w:tc>
        <w:tc>
          <w:tcPr>
            <w:tcW w:w="217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绩效目标合理性</w:t>
            </w:r>
          </w:p>
        </w:tc>
        <w:tc>
          <w:tcPr>
            <w:tcW w:w="53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3</w:t>
            </w:r>
          </w:p>
        </w:tc>
        <w:tc>
          <w:tcPr>
            <w:tcW w:w="54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right"/>
              <w:textAlignment w:val="center"/>
              <w:rPr>
                <w:rFonts w:ascii="宋体" w:hAnsi="宋体" w:cs="宋体"/>
                <w:color w:val="000000"/>
                <w:sz w:val="20"/>
                <w:szCs w:val="20"/>
                <w:highlight w:val="yellow"/>
              </w:rPr>
            </w:pPr>
            <w:r>
              <w:rPr>
                <w:rFonts w:hint="eastAsia" w:ascii="宋体" w:hAnsi="宋体" w:eastAsia="宋体" w:cs="宋体"/>
                <w:i w:val="0"/>
                <w:iCs w:val="0"/>
                <w:color w:val="000000"/>
                <w:kern w:val="0"/>
                <w:sz w:val="20"/>
                <w:szCs w:val="20"/>
                <w:u w:val="none"/>
                <w:lang w:val="en-US" w:eastAsia="zh-CN" w:bidi="ar"/>
              </w:rPr>
              <w:t>3</w:t>
            </w:r>
          </w:p>
        </w:tc>
        <w:tc>
          <w:tcPr>
            <w:tcW w:w="2059"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color w:val="000000"/>
                <w:sz w:val="20"/>
                <w:szCs w:val="20"/>
                <w:highlight w:val="yellow"/>
              </w:rPr>
            </w:pPr>
          </w:p>
        </w:tc>
      </w:tr>
      <w:tr>
        <w:tblPrEx>
          <w:tblCellMar>
            <w:top w:w="0" w:type="dxa"/>
            <w:left w:w="108" w:type="dxa"/>
            <w:bottom w:w="0" w:type="dxa"/>
            <w:right w:w="108" w:type="dxa"/>
          </w:tblCellMar>
        </w:tblPrEx>
        <w:trPr>
          <w:trHeight w:val="288" w:hRule="atLeast"/>
        </w:trPr>
        <w:tc>
          <w:tcPr>
            <w:tcW w:w="75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528"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000000"/>
                <w:sz w:val="20"/>
                <w:szCs w:val="20"/>
              </w:rPr>
            </w:pPr>
          </w:p>
        </w:tc>
        <w:tc>
          <w:tcPr>
            <w:tcW w:w="156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528"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000000"/>
                <w:sz w:val="20"/>
                <w:szCs w:val="20"/>
              </w:rPr>
            </w:pPr>
          </w:p>
        </w:tc>
        <w:tc>
          <w:tcPr>
            <w:tcW w:w="217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绩效指标的批复性</w:t>
            </w:r>
          </w:p>
        </w:tc>
        <w:tc>
          <w:tcPr>
            <w:tcW w:w="53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4</w:t>
            </w:r>
          </w:p>
        </w:tc>
        <w:tc>
          <w:tcPr>
            <w:tcW w:w="54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right"/>
              <w:textAlignment w:val="center"/>
              <w:rPr>
                <w:rFonts w:ascii="宋体" w:hAnsi="宋体" w:cs="宋体"/>
                <w:color w:val="000000"/>
                <w:sz w:val="20"/>
                <w:szCs w:val="20"/>
                <w:highlight w:val="yellow"/>
              </w:rPr>
            </w:pPr>
            <w:r>
              <w:rPr>
                <w:rFonts w:hint="eastAsia" w:ascii="宋体" w:hAnsi="宋体" w:eastAsia="宋体" w:cs="宋体"/>
                <w:i w:val="0"/>
                <w:iCs w:val="0"/>
                <w:color w:val="000000"/>
                <w:kern w:val="0"/>
                <w:sz w:val="20"/>
                <w:szCs w:val="20"/>
                <w:u w:val="none"/>
                <w:lang w:val="en-US" w:eastAsia="zh-CN" w:bidi="ar"/>
              </w:rPr>
              <w:t>4</w:t>
            </w:r>
          </w:p>
        </w:tc>
        <w:tc>
          <w:tcPr>
            <w:tcW w:w="2059"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color w:val="000000"/>
                <w:sz w:val="20"/>
                <w:szCs w:val="20"/>
                <w:highlight w:val="yellow"/>
              </w:rPr>
            </w:pPr>
          </w:p>
        </w:tc>
      </w:tr>
      <w:tr>
        <w:tblPrEx>
          <w:tblCellMar>
            <w:top w:w="0" w:type="dxa"/>
            <w:left w:w="108" w:type="dxa"/>
            <w:bottom w:w="0" w:type="dxa"/>
            <w:right w:w="108" w:type="dxa"/>
          </w:tblCellMar>
        </w:tblPrEx>
        <w:trPr>
          <w:trHeight w:val="288" w:hRule="atLeast"/>
        </w:trPr>
        <w:tc>
          <w:tcPr>
            <w:tcW w:w="75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528"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000000"/>
                <w:sz w:val="20"/>
                <w:szCs w:val="20"/>
              </w:rPr>
            </w:pPr>
          </w:p>
        </w:tc>
        <w:tc>
          <w:tcPr>
            <w:tcW w:w="156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资金投入</w:t>
            </w:r>
          </w:p>
        </w:tc>
        <w:tc>
          <w:tcPr>
            <w:tcW w:w="528"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5</w:t>
            </w:r>
          </w:p>
        </w:tc>
        <w:tc>
          <w:tcPr>
            <w:tcW w:w="217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财政衔接资金明确性</w:t>
            </w:r>
          </w:p>
        </w:tc>
        <w:tc>
          <w:tcPr>
            <w:tcW w:w="53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3</w:t>
            </w:r>
          </w:p>
        </w:tc>
        <w:tc>
          <w:tcPr>
            <w:tcW w:w="54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right"/>
              <w:textAlignment w:val="center"/>
              <w:rPr>
                <w:rFonts w:ascii="宋体" w:hAnsi="宋体" w:cs="宋体"/>
                <w:color w:val="000000"/>
                <w:sz w:val="20"/>
                <w:szCs w:val="20"/>
                <w:highlight w:val="yellow"/>
              </w:rPr>
            </w:pPr>
            <w:r>
              <w:rPr>
                <w:rFonts w:hint="eastAsia" w:ascii="宋体" w:hAnsi="宋体" w:eastAsia="宋体" w:cs="宋体"/>
                <w:i w:val="0"/>
                <w:iCs w:val="0"/>
                <w:color w:val="000000"/>
                <w:kern w:val="0"/>
                <w:sz w:val="20"/>
                <w:szCs w:val="20"/>
                <w:u w:val="none"/>
                <w:lang w:val="en-US" w:eastAsia="zh-CN" w:bidi="ar"/>
              </w:rPr>
              <w:t>3</w:t>
            </w:r>
          </w:p>
        </w:tc>
        <w:tc>
          <w:tcPr>
            <w:tcW w:w="2059"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color w:val="000000"/>
                <w:sz w:val="20"/>
                <w:szCs w:val="20"/>
                <w:highlight w:val="yellow"/>
              </w:rPr>
            </w:pPr>
          </w:p>
        </w:tc>
      </w:tr>
      <w:tr>
        <w:tblPrEx>
          <w:tblCellMar>
            <w:top w:w="0" w:type="dxa"/>
            <w:left w:w="108" w:type="dxa"/>
            <w:bottom w:w="0" w:type="dxa"/>
            <w:right w:w="108" w:type="dxa"/>
          </w:tblCellMar>
        </w:tblPrEx>
        <w:trPr>
          <w:trHeight w:val="288" w:hRule="atLeast"/>
        </w:trPr>
        <w:tc>
          <w:tcPr>
            <w:tcW w:w="75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528"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000000"/>
                <w:sz w:val="20"/>
                <w:szCs w:val="20"/>
              </w:rPr>
            </w:pPr>
          </w:p>
        </w:tc>
        <w:tc>
          <w:tcPr>
            <w:tcW w:w="156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528"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000000"/>
                <w:sz w:val="20"/>
                <w:szCs w:val="20"/>
              </w:rPr>
            </w:pPr>
          </w:p>
        </w:tc>
        <w:tc>
          <w:tcPr>
            <w:tcW w:w="217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其他配套资金明确性</w:t>
            </w:r>
          </w:p>
        </w:tc>
        <w:tc>
          <w:tcPr>
            <w:tcW w:w="53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2</w:t>
            </w:r>
          </w:p>
        </w:tc>
        <w:tc>
          <w:tcPr>
            <w:tcW w:w="54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right"/>
              <w:textAlignment w:val="center"/>
              <w:rPr>
                <w:rFonts w:ascii="宋体" w:hAnsi="宋体" w:cs="宋体"/>
                <w:color w:val="000000"/>
                <w:sz w:val="20"/>
                <w:szCs w:val="20"/>
                <w:highlight w:val="yellow"/>
              </w:rPr>
            </w:pPr>
            <w:r>
              <w:rPr>
                <w:rFonts w:hint="eastAsia" w:ascii="宋体" w:hAnsi="宋体" w:eastAsia="宋体" w:cs="宋体"/>
                <w:i w:val="0"/>
                <w:iCs w:val="0"/>
                <w:color w:val="000000"/>
                <w:kern w:val="0"/>
                <w:sz w:val="20"/>
                <w:szCs w:val="20"/>
                <w:u w:val="none"/>
                <w:lang w:val="en-US" w:eastAsia="zh-CN" w:bidi="ar"/>
              </w:rPr>
              <w:t>2</w:t>
            </w:r>
          </w:p>
        </w:tc>
        <w:tc>
          <w:tcPr>
            <w:tcW w:w="2059"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color w:val="000000"/>
                <w:sz w:val="20"/>
                <w:szCs w:val="20"/>
                <w:highlight w:val="yellow"/>
              </w:rPr>
            </w:pPr>
          </w:p>
        </w:tc>
      </w:tr>
      <w:tr>
        <w:tblPrEx>
          <w:tblCellMar>
            <w:top w:w="0" w:type="dxa"/>
            <w:left w:w="108" w:type="dxa"/>
            <w:bottom w:w="0" w:type="dxa"/>
            <w:right w:w="108" w:type="dxa"/>
          </w:tblCellMar>
        </w:tblPrEx>
        <w:trPr>
          <w:trHeight w:val="288" w:hRule="atLeast"/>
        </w:trPr>
        <w:tc>
          <w:tcPr>
            <w:tcW w:w="753"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过程</w:t>
            </w:r>
          </w:p>
        </w:tc>
        <w:tc>
          <w:tcPr>
            <w:tcW w:w="528"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30</w:t>
            </w:r>
          </w:p>
        </w:tc>
        <w:tc>
          <w:tcPr>
            <w:tcW w:w="156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资金落实</w:t>
            </w:r>
          </w:p>
        </w:tc>
        <w:tc>
          <w:tcPr>
            <w:tcW w:w="528"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6</w:t>
            </w:r>
          </w:p>
        </w:tc>
        <w:tc>
          <w:tcPr>
            <w:tcW w:w="217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资金到位率</w:t>
            </w:r>
          </w:p>
        </w:tc>
        <w:tc>
          <w:tcPr>
            <w:tcW w:w="53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4</w:t>
            </w:r>
          </w:p>
        </w:tc>
        <w:tc>
          <w:tcPr>
            <w:tcW w:w="54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ascii="宋体" w:hAnsi="宋体" w:cs="宋体"/>
                <w:color w:val="000000"/>
                <w:sz w:val="20"/>
                <w:szCs w:val="20"/>
                <w:highlight w:val="yellow"/>
              </w:rPr>
            </w:pPr>
            <w:r>
              <w:rPr>
                <w:rFonts w:hint="eastAsia" w:ascii="宋体" w:hAnsi="宋体" w:eastAsia="宋体" w:cs="宋体"/>
                <w:i w:val="0"/>
                <w:iCs w:val="0"/>
                <w:color w:val="000000"/>
                <w:kern w:val="0"/>
                <w:sz w:val="20"/>
                <w:szCs w:val="20"/>
                <w:u w:val="none"/>
                <w:lang w:val="en-US" w:eastAsia="zh-CN" w:bidi="ar"/>
              </w:rPr>
              <w:t>4</w:t>
            </w:r>
          </w:p>
        </w:tc>
        <w:tc>
          <w:tcPr>
            <w:tcW w:w="2059"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color w:val="000000"/>
                <w:sz w:val="20"/>
                <w:szCs w:val="20"/>
                <w:highlight w:val="yellow"/>
              </w:rPr>
            </w:pPr>
          </w:p>
        </w:tc>
      </w:tr>
      <w:tr>
        <w:tblPrEx>
          <w:tblCellMar>
            <w:top w:w="0" w:type="dxa"/>
            <w:left w:w="108" w:type="dxa"/>
            <w:bottom w:w="0" w:type="dxa"/>
            <w:right w:w="108" w:type="dxa"/>
          </w:tblCellMar>
        </w:tblPrEx>
        <w:trPr>
          <w:trHeight w:val="288" w:hRule="atLeast"/>
        </w:trPr>
        <w:tc>
          <w:tcPr>
            <w:tcW w:w="75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528"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000000"/>
                <w:sz w:val="20"/>
                <w:szCs w:val="20"/>
              </w:rPr>
            </w:pPr>
          </w:p>
        </w:tc>
        <w:tc>
          <w:tcPr>
            <w:tcW w:w="156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528"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000000"/>
                <w:sz w:val="20"/>
                <w:szCs w:val="20"/>
              </w:rPr>
            </w:pPr>
          </w:p>
        </w:tc>
        <w:tc>
          <w:tcPr>
            <w:tcW w:w="217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到位及时率</w:t>
            </w:r>
          </w:p>
        </w:tc>
        <w:tc>
          <w:tcPr>
            <w:tcW w:w="53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2</w:t>
            </w:r>
          </w:p>
        </w:tc>
        <w:tc>
          <w:tcPr>
            <w:tcW w:w="54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ascii="宋体" w:hAnsi="宋体" w:cs="宋体"/>
                <w:color w:val="000000"/>
                <w:sz w:val="20"/>
                <w:szCs w:val="20"/>
                <w:highlight w:val="yellow"/>
              </w:rPr>
            </w:pPr>
            <w:r>
              <w:rPr>
                <w:rFonts w:hint="eastAsia" w:ascii="宋体" w:hAnsi="宋体" w:eastAsia="宋体" w:cs="宋体"/>
                <w:i w:val="0"/>
                <w:iCs w:val="0"/>
                <w:color w:val="000000"/>
                <w:kern w:val="0"/>
                <w:sz w:val="20"/>
                <w:szCs w:val="20"/>
                <w:u w:val="none"/>
                <w:lang w:val="en-US" w:eastAsia="zh-CN" w:bidi="ar"/>
              </w:rPr>
              <w:t>2</w:t>
            </w:r>
          </w:p>
        </w:tc>
        <w:tc>
          <w:tcPr>
            <w:tcW w:w="2059"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color w:val="000000"/>
                <w:sz w:val="20"/>
                <w:szCs w:val="20"/>
                <w:highlight w:val="yellow"/>
              </w:rPr>
            </w:pPr>
          </w:p>
        </w:tc>
      </w:tr>
      <w:tr>
        <w:tblPrEx>
          <w:tblCellMar>
            <w:top w:w="0" w:type="dxa"/>
            <w:left w:w="108" w:type="dxa"/>
            <w:bottom w:w="0" w:type="dxa"/>
            <w:right w:w="108" w:type="dxa"/>
          </w:tblCellMar>
        </w:tblPrEx>
        <w:trPr>
          <w:trHeight w:val="288" w:hRule="atLeast"/>
        </w:trPr>
        <w:tc>
          <w:tcPr>
            <w:tcW w:w="75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528"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000000"/>
                <w:sz w:val="20"/>
                <w:szCs w:val="20"/>
              </w:rPr>
            </w:pPr>
          </w:p>
        </w:tc>
        <w:tc>
          <w:tcPr>
            <w:tcW w:w="156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财务管理</w:t>
            </w:r>
          </w:p>
        </w:tc>
        <w:tc>
          <w:tcPr>
            <w:tcW w:w="528"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9</w:t>
            </w:r>
          </w:p>
        </w:tc>
        <w:tc>
          <w:tcPr>
            <w:tcW w:w="217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资金拨付方式是否规范</w:t>
            </w:r>
          </w:p>
        </w:tc>
        <w:tc>
          <w:tcPr>
            <w:tcW w:w="53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2</w:t>
            </w:r>
          </w:p>
        </w:tc>
        <w:tc>
          <w:tcPr>
            <w:tcW w:w="54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ascii="宋体" w:hAnsi="宋体" w:cs="宋体"/>
                <w:color w:val="000000"/>
                <w:sz w:val="20"/>
                <w:szCs w:val="20"/>
                <w:highlight w:val="yellow"/>
              </w:rPr>
            </w:pPr>
            <w:r>
              <w:rPr>
                <w:rFonts w:hint="eastAsia" w:ascii="宋体" w:hAnsi="宋体" w:eastAsia="宋体" w:cs="宋体"/>
                <w:i w:val="0"/>
                <w:iCs w:val="0"/>
                <w:color w:val="000000"/>
                <w:kern w:val="0"/>
                <w:sz w:val="20"/>
                <w:szCs w:val="20"/>
                <w:u w:val="none"/>
                <w:lang w:val="en-US" w:eastAsia="zh-CN" w:bidi="ar"/>
              </w:rPr>
              <w:t>2</w:t>
            </w:r>
          </w:p>
        </w:tc>
        <w:tc>
          <w:tcPr>
            <w:tcW w:w="2059"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color w:val="000000"/>
                <w:sz w:val="20"/>
                <w:szCs w:val="20"/>
                <w:highlight w:val="yellow"/>
              </w:rPr>
            </w:pPr>
          </w:p>
        </w:tc>
      </w:tr>
      <w:tr>
        <w:tblPrEx>
          <w:tblCellMar>
            <w:top w:w="0" w:type="dxa"/>
            <w:left w:w="108" w:type="dxa"/>
            <w:bottom w:w="0" w:type="dxa"/>
            <w:right w:w="108" w:type="dxa"/>
          </w:tblCellMar>
        </w:tblPrEx>
        <w:trPr>
          <w:trHeight w:val="288" w:hRule="atLeast"/>
        </w:trPr>
        <w:tc>
          <w:tcPr>
            <w:tcW w:w="75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528"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000000"/>
                <w:sz w:val="20"/>
                <w:szCs w:val="20"/>
              </w:rPr>
            </w:pPr>
          </w:p>
        </w:tc>
        <w:tc>
          <w:tcPr>
            <w:tcW w:w="156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528"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000000"/>
                <w:sz w:val="20"/>
                <w:szCs w:val="20"/>
              </w:rPr>
            </w:pPr>
          </w:p>
        </w:tc>
        <w:tc>
          <w:tcPr>
            <w:tcW w:w="217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资金使用合规性</w:t>
            </w:r>
          </w:p>
        </w:tc>
        <w:tc>
          <w:tcPr>
            <w:tcW w:w="53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4</w:t>
            </w:r>
          </w:p>
        </w:tc>
        <w:tc>
          <w:tcPr>
            <w:tcW w:w="54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ascii="宋体" w:hAnsi="宋体" w:cs="宋体"/>
                <w:color w:val="000000"/>
                <w:sz w:val="20"/>
                <w:szCs w:val="20"/>
                <w:highlight w:val="yellow"/>
              </w:rPr>
            </w:pPr>
            <w:r>
              <w:rPr>
                <w:rFonts w:hint="eastAsia" w:ascii="宋体" w:hAnsi="宋体" w:eastAsia="宋体" w:cs="宋体"/>
                <w:i w:val="0"/>
                <w:iCs w:val="0"/>
                <w:color w:val="000000"/>
                <w:kern w:val="0"/>
                <w:sz w:val="20"/>
                <w:szCs w:val="20"/>
                <w:u w:val="none"/>
                <w:lang w:val="en-US" w:eastAsia="zh-CN" w:bidi="ar"/>
              </w:rPr>
              <w:t>4</w:t>
            </w:r>
          </w:p>
        </w:tc>
        <w:tc>
          <w:tcPr>
            <w:tcW w:w="2059"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color w:val="000000"/>
                <w:sz w:val="20"/>
                <w:szCs w:val="20"/>
                <w:highlight w:val="yellow"/>
              </w:rPr>
            </w:pPr>
          </w:p>
        </w:tc>
      </w:tr>
      <w:tr>
        <w:tblPrEx>
          <w:tblCellMar>
            <w:top w:w="0" w:type="dxa"/>
            <w:left w:w="108" w:type="dxa"/>
            <w:bottom w:w="0" w:type="dxa"/>
            <w:right w:w="108" w:type="dxa"/>
          </w:tblCellMar>
        </w:tblPrEx>
        <w:trPr>
          <w:trHeight w:val="288" w:hRule="atLeast"/>
        </w:trPr>
        <w:tc>
          <w:tcPr>
            <w:tcW w:w="75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528"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000000"/>
                <w:sz w:val="20"/>
                <w:szCs w:val="20"/>
              </w:rPr>
            </w:pPr>
          </w:p>
        </w:tc>
        <w:tc>
          <w:tcPr>
            <w:tcW w:w="156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528"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000000"/>
                <w:sz w:val="20"/>
                <w:szCs w:val="20"/>
              </w:rPr>
            </w:pPr>
          </w:p>
        </w:tc>
        <w:tc>
          <w:tcPr>
            <w:tcW w:w="217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财务监控有效性</w:t>
            </w:r>
          </w:p>
        </w:tc>
        <w:tc>
          <w:tcPr>
            <w:tcW w:w="53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3</w:t>
            </w:r>
          </w:p>
        </w:tc>
        <w:tc>
          <w:tcPr>
            <w:tcW w:w="54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ascii="宋体" w:hAnsi="宋体" w:cs="宋体"/>
                <w:color w:val="000000"/>
                <w:sz w:val="20"/>
                <w:szCs w:val="20"/>
                <w:highlight w:val="yellow"/>
              </w:rPr>
            </w:pPr>
            <w:r>
              <w:rPr>
                <w:rFonts w:hint="eastAsia" w:ascii="宋体" w:hAnsi="宋体" w:eastAsia="宋体" w:cs="宋体"/>
                <w:i w:val="0"/>
                <w:iCs w:val="0"/>
                <w:color w:val="000000"/>
                <w:kern w:val="0"/>
                <w:sz w:val="20"/>
                <w:szCs w:val="20"/>
                <w:u w:val="none"/>
                <w:lang w:val="en-US" w:eastAsia="zh-CN" w:bidi="ar"/>
              </w:rPr>
              <w:t>3</w:t>
            </w:r>
          </w:p>
        </w:tc>
        <w:tc>
          <w:tcPr>
            <w:tcW w:w="2059"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color w:val="000000"/>
                <w:sz w:val="20"/>
                <w:szCs w:val="20"/>
                <w:highlight w:val="yellow"/>
              </w:rPr>
            </w:pPr>
          </w:p>
        </w:tc>
      </w:tr>
      <w:tr>
        <w:tblPrEx>
          <w:tblCellMar>
            <w:top w:w="0" w:type="dxa"/>
            <w:left w:w="108" w:type="dxa"/>
            <w:bottom w:w="0" w:type="dxa"/>
            <w:right w:w="108" w:type="dxa"/>
          </w:tblCellMar>
        </w:tblPrEx>
        <w:trPr>
          <w:trHeight w:val="288" w:hRule="atLeast"/>
        </w:trPr>
        <w:tc>
          <w:tcPr>
            <w:tcW w:w="75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528"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000000"/>
                <w:sz w:val="20"/>
                <w:szCs w:val="20"/>
              </w:rPr>
            </w:pPr>
          </w:p>
        </w:tc>
        <w:tc>
          <w:tcPr>
            <w:tcW w:w="156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业务管理</w:t>
            </w:r>
          </w:p>
        </w:tc>
        <w:tc>
          <w:tcPr>
            <w:tcW w:w="528"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12</w:t>
            </w:r>
          </w:p>
        </w:tc>
        <w:tc>
          <w:tcPr>
            <w:tcW w:w="217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管理制度健全性</w:t>
            </w:r>
          </w:p>
        </w:tc>
        <w:tc>
          <w:tcPr>
            <w:tcW w:w="53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4</w:t>
            </w:r>
          </w:p>
        </w:tc>
        <w:tc>
          <w:tcPr>
            <w:tcW w:w="54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ascii="宋体" w:hAnsi="宋体" w:cs="宋体"/>
                <w:color w:val="000000"/>
                <w:sz w:val="20"/>
                <w:szCs w:val="20"/>
                <w:highlight w:val="yellow"/>
              </w:rPr>
            </w:pPr>
            <w:r>
              <w:rPr>
                <w:rFonts w:hint="eastAsia" w:ascii="宋体" w:hAnsi="宋体" w:eastAsia="宋体" w:cs="宋体"/>
                <w:i w:val="0"/>
                <w:iCs w:val="0"/>
                <w:color w:val="000000"/>
                <w:kern w:val="0"/>
                <w:sz w:val="20"/>
                <w:szCs w:val="20"/>
                <w:u w:val="none"/>
                <w:lang w:val="en-US" w:eastAsia="zh-CN" w:bidi="ar"/>
              </w:rPr>
              <w:t>4</w:t>
            </w:r>
          </w:p>
        </w:tc>
        <w:tc>
          <w:tcPr>
            <w:tcW w:w="2059"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color w:val="000000"/>
                <w:sz w:val="20"/>
                <w:szCs w:val="20"/>
                <w:highlight w:val="yellow"/>
              </w:rPr>
            </w:pPr>
          </w:p>
        </w:tc>
      </w:tr>
      <w:tr>
        <w:tblPrEx>
          <w:tblCellMar>
            <w:top w:w="0" w:type="dxa"/>
            <w:left w:w="108" w:type="dxa"/>
            <w:bottom w:w="0" w:type="dxa"/>
            <w:right w:w="108" w:type="dxa"/>
          </w:tblCellMar>
        </w:tblPrEx>
        <w:trPr>
          <w:trHeight w:val="288" w:hRule="atLeast"/>
        </w:trPr>
        <w:tc>
          <w:tcPr>
            <w:tcW w:w="75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528"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000000"/>
                <w:sz w:val="20"/>
                <w:szCs w:val="20"/>
              </w:rPr>
            </w:pPr>
          </w:p>
        </w:tc>
        <w:tc>
          <w:tcPr>
            <w:tcW w:w="156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528"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000000"/>
                <w:sz w:val="20"/>
                <w:szCs w:val="20"/>
              </w:rPr>
            </w:pPr>
          </w:p>
        </w:tc>
        <w:tc>
          <w:tcPr>
            <w:tcW w:w="217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制度执行有效性</w:t>
            </w:r>
          </w:p>
        </w:tc>
        <w:tc>
          <w:tcPr>
            <w:tcW w:w="53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4</w:t>
            </w:r>
          </w:p>
        </w:tc>
        <w:tc>
          <w:tcPr>
            <w:tcW w:w="54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ascii="宋体" w:hAnsi="宋体" w:cs="宋体"/>
                <w:color w:val="000000"/>
                <w:sz w:val="20"/>
                <w:szCs w:val="20"/>
                <w:highlight w:val="yellow"/>
              </w:rPr>
            </w:pPr>
            <w:r>
              <w:rPr>
                <w:rFonts w:hint="eastAsia" w:ascii="宋体" w:hAnsi="宋体" w:eastAsia="宋体" w:cs="宋体"/>
                <w:i w:val="0"/>
                <w:iCs w:val="0"/>
                <w:color w:val="000000"/>
                <w:kern w:val="0"/>
                <w:sz w:val="20"/>
                <w:szCs w:val="20"/>
                <w:u w:val="none"/>
                <w:lang w:val="en-US" w:eastAsia="zh-CN" w:bidi="ar"/>
              </w:rPr>
              <w:t>4</w:t>
            </w:r>
          </w:p>
        </w:tc>
        <w:tc>
          <w:tcPr>
            <w:tcW w:w="2059"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color w:val="000000"/>
                <w:sz w:val="20"/>
                <w:szCs w:val="20"/>
                <w:highlight w:val="yellow"/>
              </w:rPr>
            </w:pPr>
          </w:p>
        </w:tc>
      </w:tr>
      <w:tr>
        <w:tblPrEx>
          <w:tblCellMar>
            <w:top w:w="0" w:type="dxa"/>
            <w:left w:w="108" w:type="dxa"/>
            <w:bottom w:w="0" w:type="dxa"/>
            <w:right w:w="108" w:type="dxa"/>
          </w:tblCellMar>
        </w:tblPrEx>
        <w:trPr>
          <w:trHeight w:val="288" w:hRule="atLeast"/>
        </w:trPr>
        <w:tc>
          <w:tcPr>
            <w:tcW w:w="75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528"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000000"/>
                <w:sz w:val="20"/>
                <w:szCs w:val="20"/>
              </w:rPr>
            </w:pPr>
          </w:p>
        </w:tc>
        <w:tc>
          <w:tcPr>
            <w:tcW w:w="156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528"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000000"/>
                <w:sz w:val="20"/>
                <w:szCs w:val="20"/>
              </w:rPr>
            </w:pPr>
          </w:p>
        </w:tc>
        <w:tc>
          <w:tcPr>
            <w:tcW w:w="217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项目质量可控性</w:t>
            </w:r>
          </w:p>
        </w:tc>
        <w:tc>
          <w:tcPr>
            <w:tcW w:w="53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4</w:t>
            </w:r>
          </w:p>
        </w:tc>
        <w:tc>
          <w:tcPr>
            <w:tcW w:w="54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ascii="宋体" w:hAnsi="宋体" w:cs="宋体"/>
                <w:color w:val="000000"/>
                <w:sz w:val="20"/>
                <w:szCs w:val="20"/>
                <w:highlight w:val="yellow"/>
              </w:rPr>
            </w:pPr>
            <w:r>
              <w:rPr>
                <w:rFonts w:hint="eastAsia" w:ascii="宋体" w:hAnsi="宋体" w:eastAsia="宋体" w:cs="宋体"/>
                <w:i w:val="0"/>
                <w:iCs w:val="0"/>
                <w:color w:val="000000"/>
                <w:kern w:val="0"/>
                <w:sz w:val="20"/>
                <w:szCs w:val="20"/>
                <w:u w:val="none"/>
                <w:lang w:val="en-US" w:eastAsia="zh-CN" w:bidi="ar"/>
              </w:rPr>
              <w:t>4</w:t>
            </w:r>
          </w:p>
        </w:tc>
        <w:tc>
          <w:tcPr>
            <w:tcW w:w="2059"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color w:val="000000"/>
                <w:sz w:val="20"/>
                <w:szCs w:val="20"/>
                <w:highlight w:val="yellow"/>
              </w:rPr>
            </w:pPr>
          </w:p>
        </w:tc>
      </w:tr>
      <w:tr>
        <w:tblPrEx>
          <w:tblCellMar>
            <w:top w:w="0" w:type="dxa"/>
            <w:left w:w="108" w:type="dxa"/>
            <w:bottom w:w="0" w:type="dxa"/>
            <w:right w:w="108" w:type="dxa"/>
          </w:tblCellMar>
        </w:tblPrEx>
        <w:trPr>
          <w:trHeight w:val="288" w:hRule="atLeast"/>
        </w:trPr>
        <w:tc>
          <w:tcPr>
            <w:tcW w:w="75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528"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000000"/>
                <w:sz w:val="20"/>
                <w:szCs w:val="20"/>
              </w:rPr>
            </w:pPr>
          </w:p>
        </w:tc>
        <w:tc>
          <w:tcPr>
            <w:tcW w:w="156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档案管理</w:t>
            </w:r>
          </w:p>
        </w:tc>
        <w:tc>
          <w:tcPr>
            <w:tcW w:w="52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3</w:t>
            </w:r>
          </w:p>
        </w:tc>
        <w:tc>
          <w:tcPr>
            <w:tcW w:w="217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档案规范性</w:t>
            </w:r>
          </w:p>
        </w:tc>
        <w:tc>
          <w:tcPr>
            <w:tcW w:w="53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ascii="宋体" w:hAnsi="宋体" w:cs="宋体"/>
                <w:color w:val="000000"/>
                <w:sz w:val="20"/>
                <w:szCs w:val="20"/>
              </w:rPr>
            </w:pPr>
            <w:r>
              <w:rPr>
                <w:rFonts w:hint="default" w:ascii="楷体_GB2312" w:hAnsi="宋体" w:eastAsia="楷体_GB2312" w:cs="楷体_GB2312"/>
                <w:i w:val="0"/>
                <w:iCs w:val="0"/>
                <w:color w:val="000000"/>
                <w:kern w:val="0"/>
                <w:sz w:val="20"/>
                <w:szCs w:val="20"/>
                <w:u w:val="none"/>
                <w:lang w:val="en-US" w:eastAsia="zh-CN" w:bidi="ar"/>
              </w:rPr>
              <w:t>3</w:t>
            </w:r>
          </w:p>
        </w:tc>
        <w:tc>
          <w:tcPr>
            <w:tcW w:w="54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ascii="宋体" w:hAnsi="宋体" w:cs="宋体"/>
                <w:color w:val="000000"/>
                <w:sz w:val="20"/>
                <w:szCs w:val="20"/>
                <w:highlight w:val="yellow"/>
              </w:rPr>
            </w:pPr>
            <w:r>
              <w:rPr>
                <w:rFonts w:hint="eastAsia" w:ascii="宋体" w:hAnsi="宋体" w:eastAsia="宋体" w:cs="宋体"/>
                <w:i w:val="0"/>
                <w:iCs w:val="0"/>
                <w:color w:val="000000"/>
                <w:kern w:val="0"/>
                <w:sz w:val="20"/>
                <w:szCs w:val="20"/>
                <w:u w:val="none"/>
                <w:lang w:val="en-US" w:eastAsia="zh-CN" w:bidi="ar"/>
              </w:rPr>
              <w:t>2</w:t>
            </w:r>
          </w:p>
        </w:tc>
        <w:tc>
          <w:tcPr>
            <w:tcW w:w="205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ascii="宋体" w:hAnsi="宋体" w:cs="宋体"/>
                <w:color w:val="000000"/>
                <w:sz w:val="20"/>
                <w:szCs w:val="20"/>
                <w:highlight w:val="yellow"/>
              </w:rPr>
            </w:pPr>
            <w:r>
              <w:rPr>
                <w:rFonts w:hint="eastAsia" w:ascii="宋体" w:hAnsi="宋体" w:eastAsia="宋体" w:cs="宋体"/>
                <w:i w:val="0"/>
                <w:iCs w:val="0"/>
                <w:color w:val="000000"/>
                <w:kern w:val="0"/>
                <w:sz w:val="20"/>
                <w:szCs w:val="20"/>
                <w:u w:val="none"/>
                <w:lang w:val="en-US" w:eastAsia="zh-CN" w:bidi="ar"/>
              </w:rPr>
              <w:t>档案资料收集不到位</w:t>
            </w:r>
          </w:p>
        </w:tc>
      </w:tr>
      <w:tr>
        <w:tblPrEx>
          <w:tblCellMar>
            <w:top w:w="0" w:type="dxa"/>
            <w:left w:w="108" w:type="dxa"/>
            <w:bottom w:w="0" w:type="dxa"/>
            <w:right w:w="108" w:type="dxa"/>
          </w:tblCellMar>
        </w:tblPrEx>
        <w:trPr>
          <w:trHeight w:val="288" w:hRule="atLeast"/>
        </w:trPr>
        <w:tc>
          <w:tcPr>
            <w:tcW w:w="75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产出</w:t>
            </w:r>
          </w:p>
        </w:tc>
        <w:tc>
          <w:tcPr>
            <w:tcW w:w="52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25</w:t>
            </w:r>
          </w:p>
        </w:tc>
        <w:tc>
          <w:tcPr>
            <w:tcW w:w="15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目标完成情况</w:t>
            </w:r>
          </w:p>
        </w:tc>
        <w:tc>
          <w:tcPr>
            <w:tcW w:w="52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18</w:t>
            </w:r>
          </w:p>
        </w:tc>
        <w:tc>
          <w:tcPr>
            <w:tcW w:w="217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产出数量</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hAnsi="宋体" w:eastAsia="楷体_GB2312" w:cs="楷体_GB2312"/>
                <w:color w:val="000000"/>
                <w:sz w:val="20"/>
                <w:szCs w:val="20"/>
              </w:rPr>
            </w:pPr>
            <w:r>
              <w:rPr>
                <w:rFonts w:hint="eastAsia" w:ascii="宋体" w:hAnsi="宋体" w:eastAsia="宋体" w:cs="宋体"/>
                <w:i w:val="0"/>
                <w:iCs w:val="0"/>
                <w:color w:val="000000"/>
                <w:kern w:val="0"/>
                <w:sz w:val="20"/>
                <w:szCs w:val="20"/>
                <w:u w:val="none"/>
                <w:lang w:val="en-US" w:eastAsia="zh-CN" w:bidi="ar"/>
              </w:rPr>
              <w:t>7</w:t>
            </w:r>
          </w:p>
        </w:tc>
        <w:tc>
          <w:tcPr>
            <w:tcW w:w="5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ascii="楷体_GB2312" w:hAnsi="宋体" w:eastAsia="楷体_GB2312" w:cs="楷体_GB2312"/>
                <w:color w:val="000000"/>
                <w:sz w:val="20"/>
                <w:szCs w:val="20"/>
                <w:highlight w:val="yellow"/>
              </w:rPr>
            </w:pPr>
            <w:r>
              <w:rPr>
                <w:rFonts w:hint="eastAsia" w:ascii="宋体" w:hAnsi="宋体" w:eastAsia="宋体" w:cs="宋体"/>
                <w:i w:val="0"/>
                <w:iCs w:val="0"/>
                <w:color w:val="000000"/>
                <w:kern w:val="0"/>
                <w:sz w:val="20"/>
                <w:szCs w:val="20"/>
                <w:u w:val="none"/>
                <w:lang w:val="en-US" w:eastAsia="zh-CN" w:bidi="ar"/>
              </w:rPr>
              <w:t>7</w:t>
            </w:r>
          </w:p>
        </w:tc>
        <w:tc>
          <w:tcPr>
            <w:tcW w:w="2059"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color w:val="000000"/>
                <w:sz w:val="20"/>
                <w:szCs w:val="20"/>
                <w:highlight w:val="yellow"/>
              </w:rPr>
            </w:pPr>
          </w:p>
        </w:tc>
      </w:tr>
      <w:tr>
        <w:tblPrEx>
          <w:tblCellMar>
            <w:top w:w="0" w:type="dxa"/>
            <w:left w:w="108" w:type="dxa"/>
            <w:bottom w:w="0" w:type="dxa"/>
            <w:right w:w="108" w:type="dxa"/>
          </w:tblCellMar>
        </w:tblPrEx>
        <w:trPr>
          <w:trHeight w:val="288" w:hRule="atLeast"/>
        </w:trPr>
        <w:tc>
          <w:tcPr>
            <w:tcW w:w="75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528"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000000"/>
                <w:sz w:val="20"/>
                <w:szCs w:val="20"/>
              </w:rPr>
            </w:pPr>
          </w:p>
        </w:tc>
        <w:tc>
          <w:tcPr>
            <w:tcW w:w="156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528"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000000"/>
                <w:sz w:val="20"/>
                <w:szCs w:val="20"/>
              </w:rPr>
            </w:pPr>
          </w:p>
        </w:tc>
        <w:tc>
          <w:tcPr>
            <w:tcW w:w="217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产出质量</w:t>
            </w:r>
          </w:p>
        </w:tc>
        <w:tc>
          <w:tcPr>
            <w:tcW w:w="53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6</w:t>
            </w:r>
          </w:p>
        </w:tc>
        <w:tc>
          <w:tcPr>
            <w:tcW w:w="54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ascii="宋体" w:hAnsi="宋体" w:cs="宋体"/>
                <w:color w:val="000000"/>
                <w:sz w:val="20"/>
                <w:szCs w:val="20"/>
                <w:highlight w:val="yellow"/>
              </w:rPr>
            </w:pPr>
            <w:r>
              <w:rPr>
                <w:rFonts w:hint="eastAsia" w:ascii="宋体" w:hAnsi="宋体" w:eastAsia="宋体" w:cs="宋体"/>
                <w:i w:val="0"/>
                <w:iCs w:val="0"/>
                <w:color w:val="000000"/>
                <w:kern w:val="0"/>
                <w:sz w:val="20"/>
                <w:szCs w:val="20"/>
                <w:u w:val="none"/>
                <w:lang w:val="en-US" w:eastAsia="zh-CN" w:bidi="ar"/>
              </w:rPr>
              <w:t>6</w:t>
            </w:r>
          </w:p>
        </w:tc>
        <w:tc>
          <w:tcPr>
            <w:tcW w:w="2059"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color w:val="000000"/>
                <w:sz w:val="20"/>
                <w:szCs w:val="20"/>
                <w:highlight w:val="yellow"/>
              </w:rPr>
            </w:pPr>
          </w:p>
        </w:tc>
      </w:tr>
      <w:tr>
        <w:tblPrEx>
          <w:tblCellMar>
            <w:top w:w="0" w:type="dxa"/>
            <w:left w:w="108" w:type="dxa"/>
            <w:bottom w:w="0" w:type="dxa"/>
            <w:right w:w="108" w:type="dxa"/>
          </w:tblCellMar>
        </w:tblPrEx>
        <w:trPr>
          <w:trHeight w:val="288" w:hRule="atLeast"/>
        </w:trPr>
        <w:tc>
          <w:tcPr>
            <w:tcW w:w="75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528"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000000"/>
                <w:sz w:val="20"/>
                <w:szCs w:val="20"/>
              </w:rPr>
            </w:pPr>
          </w:p>
        </w:tc>
        <w:tc>
          <w:tcPr>
            <w:tcW w:w="156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528"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000000"/>
                <w:sz w:val="20"/>
                <w:szCs w:val="20"/>
              </w:rPr>
            </w:pPr>
          </w:p>
        </w:tc>
        <w:tc>
          <w:tcPr>
            <w:tcW w:w="217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产出时效（项目完成及时率）</w:t>
            </w:r>
          </w:p>
        </w:tc>
        <w:tc>
          <w:tcPr>
            <w:tcW w:w="53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5</w:t>
            </w:r>
          </w:p>
        </w:tc>
        <w:tc>
          <w:tcPr>
            <w:tcW w:w="54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ascii="宋体" w:hAnsi="宋体" w:cs="宋体"/>
                <w:color w:val="000000"/>
                <w:sz w:val="20"/>
                <w:szCs w:val="20"/>
                <w:highlight w:val="yellow"/>
              </w:rPr>
            </w:pPr>
            <w:r>
              <w:rPr>
                <w:rFonts w:hint="eastAsia" w:ascii="宋体" w:hAnsi="宋体" w:eastAsia="宋体" w:cs="宋体"/>
                <w:i w:val="0"/>
                <w:iCs w:val="0"/>
                <w:color w:val="000000"/>
                <w:kern w:val="0"/>
                <w:sz w:val="20"/>
                <w:szCs w:val="20"/>
                <w:u w:val="none"/>
                <w:lang w:val="en-US" w:eastAsia="zh-CN" w:bidi="ar"/>
              </w:rPr>
              <w:t>5</w:t>
            </w:r>
          </w:p>
        </w:tc>
        <w:tc>
          <w:tcPr>
            <w:tcW w:w="2059"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color w:val="000000"/>
                <w:sz w:val="20"/>
                <w:szCs w:val="20"/>
                <w:highlight w:val="yellow"/>
              </w:rPr>
            </w:pPr>
          </w:p>
        </w:tc>
      </w:tr>
      <w:tr>
        <w:tblPrEx>
          <w:tblCellMar>
            <w:top w:w="0" w:type="dxa"/>
            <w:left w:w="108" w:type="dxa"/>
            <w:bottom w:w="0" w:type="dxa"/>
            <w:right w:w="108" w:type="dxa"/>
          </w:tblCellMar>
        </w:tblPrEx>
        <w:trPr>
          <w:trHeight w:val="288" w:hRule="atLeast"/>
        </w:trPr>
        <w:tc>
          <w:tcPr>
            <w:tcW w:w="75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528"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000000"/>
                <w:sz w:val="20"/>
                <w:szCs w:val="20"/>
              </w:rPr>
            </w:pPr>
          </w:p>
        </w:tc>
        <w:tc>
          <w:tcPr>
            <w:tcW w:w="156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资金使用情况</w:t>
            </w:r>
          </w:p>
        </w:tc>
        <w:tc>
          <w:tcPr>
            <w:tcW w:w="528"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7</w:t>
            </w:r>
          </w:p>
        </w:tc>
        <w:tc>
          <w:tcPr>
            <w:tcW w:w="217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资金使用率</w:t>
            </w:r>
          </w:p>
        </w:tc>
        <w:tc>
          <w:tcPr>
            <w:tcW w:w="53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4</w:t>
            </w:r>
          </w:p>
        </w:tc>
        <w:tc>
          <w:tcPr>
            <w:tcW w:w="54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ascii="宋体" w:hAnsi="宋体" w:cs="宋体"/>
                <w:color w:val="000000"/>
                <w:sz w:val="20"/>
                <w:szCs w:val="20"/>
                <w:highlight w:val="yellow"/>
              </w:rPr>
            </w:pPr>
            <w:r>
              <w:rPr>
                <w:rFonts w:hint="eastAsia" w:ascii="宋体" w:hAnsi="宋体" w:eastAsia="宋体" w:cs="宋体"/>
                <w:i w:val="0"/>
                <w:iCs w:val="0"/>
                <w:color w:val="000000"/>
                <w:kern w:val="0"/>
                <w:sz w:val="20"/>
                <w:szCs w:val="20"/>
                <w:u w:val="none"/>
                <w:lang w:val="en-US" w:eastAsia="zh-CN" w:bidi="ar"/>
              </w:rPr>
              <w:t>4</w:t>
            </w:r>
          </w:p>
        </w:tc>
        <w:tc>
          <w:tcPr>
            <w:tcW w:w="2059"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color w:val="000000"/>
                <w:sz w:val="20"/>
                <w:szCs w:val="20"/>
                <w:highlight w:val="yellow"/>
              </w:rPr>
            </w:pPr>
          </w:p>
        </w:tc>
      </w:tr>
      <w:tr>
        <w:tblPrEx>
          <w:tblCellMar>
            <w:top w:w="0" w:type="dxa"/>
            <w:left w:w="108" w:type="dxa"/>
            <w:bottom w:w="0" w:type="dxa"/>
            <w:right w:w="108" w:type="dxa"/>
          </w:tblCellMar>
        </w:tblPrEx>
        <w:trPr>
          <w:trHeight w:val="288" w:hRule="atLeast"/>
        </w:trPr>
        <w:tc>
          <w:tcPr>
            <w:tcW w:w="75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528"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000000"/>
                <w:sz w:val="20"/>
                <w:szCs w:val="20"/>
              </w:rPr>
            </w:pPr>
          </w:p>
        </w:tc>
        <w:tc>
          <w:tcPr>
            <w:tcW w:w="156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528"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000000"/>
                <w:sz w:val="20"/>
                <w:szCs w:val="20"/>
              </w:rPr>
            </w:pPr>
          </w:p>
        </w:tc>
        <w:tc>
          <w:tcPr>
            <w:tcW w:w="217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成本节约率</w:t>
            </w:r>
          </w:p>
        </w:tc>
        <w:tc>
          <w:tcPr>
            <w:tcW w:w="53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3</w:t>
            </w:r>
          </w:p>
        </w:tc>
        <w:tc>
          <w:tcPr>
            <w:tcW w:w="54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ascii="宋体" w:hAnsi="宋体" w:cs="宋体"/>
                <w:color w:val="000000"/>
                <w:sz w:val="20"/>
                <w:szCs w:val="20"/>
                <w:highlight w:val="yellow"/>
              </w:rPr>
            </w:pPr>
            <w:r>
              <w:rPr>
                <w:rFonts w:hint="eastAsia" w:ascii="宋体" w:hAnsi="宋体" w:eastAsia="宋体" w:cs="宋体"/>
                <w:i w:val="0"/>
                <w:iCs w:val="0"/>
                <w:color w:val="000000"/>
                <w:kern w:val="0"/>
                <w:sz w:val="20"/>
                <w:szCs w:val="20"/>
                <w:u w:val="none"/>
                <w:lang w:val="en-US" w:eastAsia="zh-CN" w:bidi="ar"/>
              </w:rPr>
              <w:t>2</w:t>
            </w:r>
          </w:p>
        </w:tc>
        <w:tc>
          <w:tcPr>
            <w:tcW w:w="205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ascii="宋体" w:hAnsi="宋体" w:cs="宋体"/>
                <w:color w:val="000000"/>
                <w:sz w:val="20"/>
                <w:szCs w:val="20"/>
                <w:highlight w:val="yellow"/>
              </w:rPr>
            </w:pPr>
            <w:r>
              <w:rPr>
                <w:rFonts w:hint="eastAsia" w:ascii="宋体" w:hAnsi="宋体" w:eastAsia="宋体" w:cs="宋体"/>
                <w:i w:val="0"/>
                <w:iCs w:val="0"/>
                <w:color w:val="000000"/>
                <w:kern w:val="0"/>
                <w:sz w:val="20"/>
                <w:szCs w:val="20"/>
                <w:u w:val="none"/>
                <w:lang w:val="en-US" w:eastAsia="zh-CN" w:bidi="ar"/>
              </w:rPr>
              <w:t>实际投资大于计划投资</w:t>
            </w:r>
          </w:p>
        </w:tc>
      </w:tr>
      <w:tr>
        <w:tblPrEx>
          <w:tblCellMar>
            <w:top w:w="0" w:type="dxa"/>
            <w:left w:w="108" w:type="dxa"/>
            <w:bottom w:w="0" w:type="dxa"/>
            <w:right w:w="108" w:type="dxa"/>
          </w:tblCellMar>
        </w:tblPrEx>
        <w:trPr>
          <w:trHeight w:val="288" w:hRule="atLeast"/>
        </w:trPr>
        <w:tc>
          <w:tcPr>
            <w:tcW w:w="753"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效果</w:t>
            </w:r>
          </w:p>
        </w:tc>
        <w:tc>
          <w:tcPr>
            <w:tcW w:w="528"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27</w:t>
            </w:r>
          </w:p>
        </w:tc>
        <w:tc>
          <w:tcPr>
            <w:tcW w:w="156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宋体" w:hAnsi="宋体" w:cs="宋体"/>
                <w:color w:val="000000"/>
                <w:sz w:val="20"/>
                <w:szCs w:val="20"/>
              </w:rPr>
            </w:pPr>
            <w:r>
              <w:rPr>
                <w:rFonts w:hint="default" w:ascii="楷体_GB2312" w:hAnsi="宋体" w:eastAsia="楷体_GB2312" w:cs="楷体_GB2312"/>
                <w:i w:val="0"/>
                <w:iCs w:val="0"/>
                <w:color w:val="000000"/>
                <w:kern w:val="0"/>
                <w:sz w:val="20"/>
                <w:szCs w:val="20"/>
                <w:u w:val="none"/>
                <w:lang w:val="en-US" w:eastAsia="zh-CN" w:bidi="ar"/>
              </w:rPr>
              <w:t>社会经济效益</w:t>
            </w:r>
          </w:p>
        </w:tc>
        <w:tc>
          <w:tcPr>
            <w:tcW w:w="528"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ascii="宋体" w:hAnsi="宋体" w:cs="宋体"/>
                <w:color w:val="000000"/>
                <w:sz w:val="20"/>
                <w:szCs w:val="20"/>
              </w:rPr>
            </w:pPr>
            <w:r>
              <w:rPr>
                <w:rFonts w:hint="default" w:ascii="楷体_GB2312" w:hAnsi="宋体" w:eastAsia="楷体_GB2312" w:cs="楷体_GB2312"/>
                <w:i w:val="0"/>
                <w:iCs w:val="0"/>
                <w:color w:val="000000"/>
                <w:kern w:val="0"/>
                <w:sz w:val="20"/>
                <w:szCs w:val="20"/>
                <w:u w:val="none"/>
                <w:lang w:val="en-US" w:eastAsia="zh-CN" w:bidi="ar"/>
              </w:rPr>
              <w:t>17</w:t>
            </w:r>
          </w:p>
        </w:tc>
        <w:tc>
          <w:tcPr>
            <w:tcW w:w="217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经济效益</w:t>
            </w:r>
          </w:p>
        </w:tc>
        <w:tc>
          <w:tcPr>
            <w:tcW w:w="53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ascii="宋体" w:hAnsi="宋体" w:cs="宋体"/>
                <w:color w:val="000000"/>
                <w:sz w:val="20"/>
                <w:szCs w:val="20"/>
              </w:rPr>
            </w:pPr>
            <w:r>
              <w:rPr>
                <w:rFonts w:hint="default" w:ascii="楷体_GB2312" w:hAnsi="宋体" w:eastAsia="楷体_GB2312" w:cs="楷体_GB2312"/>
                <w:i w:val="0"/>
                <w:iCs w:val="0"/>
                <w:color w:val="000000"/>
                <w:kern w:val="0"/>
                <w:sz w:val="20"/>
                <w:szCs w:val="20"/>
                <w:u w:val="none"/>
                <w:lang w:val="en-US" w:eastAsia="zh-CN" w:bidi="ar"/>
              </w:rPr>
              <w:t>4</w:t>
            </w:r>
          </w:p>
        </w:tc>
        <w:tc>
          <w:tcPr>
            <w:tcW w:w="54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rFonts w:ascii="宋体" w:hAnsi="宋体" w:cs="宋体"/>
                <w:color w:val="000000"/>
                <w:sz w:val="20"/>
                <w:szCs w:val="20"/>
                <w:highlight w:val="yellow"/>
              </w:rPr>
            </w:pPr>
            <w:r>
              <w:rPr>
                <w:rFonts w:hint="eastAsia" w:ascii="宋体" w:hAnsi="宋体" w:eastAsia="宋体" w:cs="宋体"/>
                <w:i w:val="0"/>
                <w:iCs w:val="0"/>
                <w:color w:val="000000"/>
                <w:kern w:val="0"/>
                <w:sz w:val="20"/>
                <w:szCs w:val="20"/>
                <w:u w:val="none"/>
                <w:lang w:val="en-US" w:eastAsia="zh-CN" w:bidi="ar"/>
              </w:rPr>
              <w:t>4</w:t>
            </w:r>
          </w:p>
        </w:tc>
        <w:tc>
          <w:tcPr>
            <w:tcW w:w="2059"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color w:val="000000"/>
                <w:sz w:val="20"/>
                <w:szCs w:val="20"/>
                <w:highlight w:val="yellow"/>
              </w:rPr>
            </w:pPr>
          </w:p>
        </w:tc>
      </w:tr>
      <w:tr>
        <w:tblPrEx>
          <w:tblCellMar>
            <w:top w:w="0" w:type="dxa"/>
            <w:left w:w="108" w:type="dxa"/>
            <w:bottom w:w="0" w:type="dxa"/>
            <w:right w:w="108" w:type="dxa"/>
          </w:tblCellMar>
        </w:tblPrEx>
        <w:trPr>
          <w:trHeight w:val="288" w:hRule="atLeast"/>
        </w:trPr>
        <w:tc>
          <w:tcPr>
            <w:tcW w:w="7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4"/>
              </w:rPr>
            </w:pPr>
          </w:p>
        </w:tc>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0"/>
                <w:szCs w:val="20"/>
              </w:rPr>
            </w:pPr>
          </w:p>
        </w:tc>
        <w:tc>
          <w:tcPr>
            <w:tcW w:w="15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楷体_GB2312" w:hAnsi="宋体" w:eastAsia="楷体_GB2312" w:cs="楷体_GB2312"/>
                <w:color w:val="000000"/>
                <w:sz w:val="20"/>
                <w:szCs w:val="20"/>
              </w:rPr>
            </w:pPr>
          </w:p>
        </w:tc>
        <w:tc>
          <w:tcPr>
            <w:tcW w:w="52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楷体_GB2312" w:hAnsi="宋体" w:eastAsia="楷体_GB2312" w:cs="楷体_GB2312"/>
                <w:color w:val="000000"/>
                <w:sz w:val="20"/>
                <w:szCs w:val="20"/>
              </w:rPr>
            </w:pPr>
          </w:p>
        </w:tc>
        <w:tc>
          <w:tcPr>
            <w:tcW w:w="217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社会效益</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hAnsi="宋体" w:eastAsia="楷体_GB2312" w:cs="楷体_GB2312"/>
                <w:color w:val="000000"/>
                <w:sz w:val="20"/>
                <w:szCs w:val="20"/>
              </w:rPr>
            </w:pPr>
            <w:r>
              <w:rPr>
                <w:rFonts w:hint="default" w:ascii="楷体_GB2312" w:hAnsi="宋体" w:eastAsia="楷体_GB2312" w:cs="楷体_GB2312"/>
                <w:i w:val="0"/>
                <w:iCs w:val="0"/>
                <w:color w:val="000000"/>
                <w:kern w:val="0"/>
                <w:sz w:val="20"/>
                <w:szCs w:val="20"/>
                <w:u w:val="none"/>
                <w:lang w:val="en-US" w:eastAsia="zh-CN" w:bidi="ar"/>
              </w:rPr>
              <w:t>4</w:t>
            </w:r>
          </w:p>
        </w:tc>
        <w:tc>
          <w:tcPr>
            <w:tcW w:w="5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ascii="楷体_GB2312" w:hAnsi="宋体" w:eastAsia="楷体_GB2312" w:cs="楷体_GB2312"/>
                <w:color w:val="000000"/>
                <w:sz w:val="20"/>
                <w:szCs w:val="20"/>
                <w:highlight w:val="yellow"/>
              </w:rPr>
            </w:pPr>
            <w:r>
              <w:rPr>
                <w:rFonts w:hint="eastAsia" w:ascii="宋体" w:hAnsi="宋体" w:eastAsia="宋体" w:cs="宋体"/>
                <w:i w:val="0"/>
                <w:iCs w:val="0"/>
                <w:color w:val="000000"/>
                <w:kern w:val="0"/>
                <w:sz w:val="20"/>
                <w:szCs w:val="20"/>
                <w:u w:val="none"/>
                <w:lang w:val="en-US" w:eastAsia="zh-CN" w:bidi="ar"/>
              </w:rPr>
              <w:t>4</w:t>
            </w:r>
          </w:p>
        </w:tc>
        <w:tc>
          <w:tcPr>
            <w:tcW w:w="2059"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color w:val="000000"/>
                <w:sz w:val="20"/>
                <w:szCs w:val="20"/>
                <w:highlight w:val="yellow"/>
              </w:rPr>
            </w:pPr>
          </w:p>
        </w:tc>
      </w:tr>
      <w:tr>
        <w:tblPrEx>
          <w:tblCellMar>
            <w:top w:w="0" w:type="dxa"/>
            <w:left w:w="108" w:type="dxa"/>
            <w:bottom w:w="0" w:type="dxa"/>
            <w:right w:w="108" w:type="dxa"/>
          </w:tblCellMar>
        </w:tblPrEx>
        <w:trPr>
          <w:trHeight w:val="288" w:hRule="atLeast"/>
        </w:trPr>
        <w:tc>
          <w:tcPr>
            <w:tcW w:w="7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4"/>
              </w:rPr>
            </w:pPr>
          </w:p>
        </w:tc>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0"/>
                <w:szCs w:val="20"/>
              </w:rPr>
            </w:pPr>
          </w:p>
        </w:tc>
        <w:tc>
          <w:tcPr>
            <w:tcW w:w="15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楷体_GB2312" w:hAnsi="宋体" w:eastAsia="楷体_GB2312" w:cs="楷体_GB2312"/>
                <w:color w:val="000000"/>
                <w:sz w:val="20"/>
                <w:szCs w:val="20"/>
              </w:rPr>
            </w:pPr>
          </w:p>
        </w:tc>
        <w:tc>
          <w:tcPr>
            <w:tcW w:w="52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楷体_GB2312" w:hAnsi="宋体" w:eastAsia="楷体_GB2312" w:cs="楷体_GB2312"/>
                <w:color w:val="000000"/>
                <w:sz w:val="20"/>
                <w:szCs w:val="20"/>
              </w:rPr>
            </w:pPr>
          </w:p>
        </w:tc>
        <w:tc>
          <w:tcPr>
            <w:tcW w:w="217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生态效益</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hAnsi="宋体" w:eastAsia="楷体_GB2312" w:cs="楷体_GB2312"/>
                <w:color w:val="000000"/>
                <w:sz w:val="20"/>
                <w:szCs w:val="20"/>
              </w:rPr>
            </w:pPr>
            <w:r>
              <w:rPr>
                <w:rFonts w:hint="default" w:ascii="楷体_GB2312" w:hAnsi="宋体" w:eastAsia="楷体_GB2312" w:cs="楷体_GB2312"/>
                <w:i w:val="0"/>
                <w:iCs w:val="0"/>
                <w:color w:val="000000"/>
                <w:kern w:val="0"/>
                <w:sz w:val="20"/>
                <w:szCs w:val="20"/>
                <w:u w:val="none"/>
                <w:lang w:val="en-US" w:eastAsia="zh-CN" w:bidi="ar"/>
              </w:rPr>
              <w:t>4</w:t>
            </w:r>
          </w:p>
        </w:tc>
        <w:tc>
          <w:tcPr>
            <w:tcW w:w="5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ascii="楷体_GB2312" w:hAnsi="宋体" w:eastAsia="楷体_GB2312" w:cs="楷体_GB2312"/>
                <w:color w:val="000000"/>
                <w:sz w:val="20"/>
                <w:szCs w:val="20"/>
                <w:highlight w:val="yellow"/>
              </w:rPr>
            </w:pPr>
            <w:r>
              <w:rPr>
                <w:rFonts w:hint="eastAsia" w:ascii="宋体" w:hAnsi="宋体" w:eastAsia="宋体" w:cs="宋体"/>
                <w:i w:val="0"/>
                <w:iCs w:val="0"/>
                <w:color w:val="000000"/>
                <w:kern w:val="0"/>
                <w:sz w:val="20"/>
                <w:szCs w:val="20"/>
                <w:u w:val="none"/>
                <w:lang w:val="en-US" w:eastAsia="zh-CN" w:bidi="ar"/>
              </w:rPr>
              <w:t>4</w:t>
            </w:r>
          </w:p>
        </w:tc>
        <w:tc>
          <w:tcPr>
            <w:tcW w:w="2059"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color w:val="000000"/>
                <w:sz w:val="20"/>
                <w:szCs w:val="20"/>
                <w:highlight w:val="yellow"/>
              </w:rPr>
            </w:pPr>
          </w:p>
        </w:tc>
      </w:tr>
      <w:tr>
        <w:tblPrEx>
          <w:tblCellMar>
            <w:top w:w="0" w:type="dxa"/>
            <w:left w:w="108" w:type="dxa"/>
            <w:bottom w:w="0" w:type="dxa"/>
            <w:right w:w="108" w:type="dxa"/>
          </w:tblCellMar>
        </w:tblPrEx>
        <w:trPr>
          <w:trHeight w:val="288" w:hRule="atLeast"/>
        </w:trPr>
        <w:tc>
          <w:tcPr>
            <w:tcW w:w="7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4"/>
              </w:rPr>
            </w:pPr>
          </w:p>
        </w:tc>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0"/>
                <w:szCs w:val="20"/>
              </w:rPr>
            </w:pPr>
          </w:p>
        </w:tc>
        <w:tc>
          <w:tcPr>
            <w:tcW w:w="15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楷体_GB2312" w:hAnsi="宋体" w:eastAsia="楷体_GB2312" w:cs="楷体_GB2312"/>
                <w:color w:val="000000"/>
                <w:sz w:val="20"/>
                <w:szCs w:val="20"/>
              </w:rPr>
            </w:pPr>
          </w:p>
        </w:tc>
        <w:tc>
          <w:tcPr>
            <w:tcW w:w="52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楷体_GB2312" w:hAnsi="宋体" w:eastAsia="楷体_GB2312" w:cs="楷体_GB2312"/>
                <w:color w:val="000000"/>
                <w:sz w:val="20"/>
                <w:szCs w:val="20"/>
              </w:rPr>
            </w:pPr>
          </w:p>
        </w:tc>
        <w:tc>
          <w:tcPr>
            <w:tcW w:w="217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可持续影响</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hAnsi="宋体" w:eastAsia="楷体_GB2312" w:cs="楷体_GB2312"/>
                <w:color w:val="000000"/>
                <w:sz w:val="20"/>
                <w:szCs w:val="20"/>
              </w:rPr>
            </w:pPr>
            <w:r>
              <w:rPr>
                <w:rFonts w:hint="default" w:ascii="楷体_GB2312" w:hAnsi="宋体" w:eastAsia="楷体_GB2312" w:cs="楷体_GB2312"/>
                <w:i w:val="0"/>
                <w:iCs w:val="0"/>
                <w:color w:val="000000"/>
                <w:kern w:val="0"/>
                <w:sz w:val="20"/>
                <w:szCs w:val="20"/>
                <w:u w:val="none"/>
                <w:lang w:val="en-US" w:eastAsia="zh-CN" w:bidi="ar"/>
              </w:rPr>
              <w:t>3</w:t>
            </w:r>
          </w:p>
        </w:tc>
        <w:tc>
          <w:tcPr>
            <w:tcW w:w="5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ascii="楷体_GB2312" w:hAnsi="宋体" w:eastAsia="楷体_GB2312" w:cs="楷体_GB2312"/>
                <w:color w:val="000000"/>
                <w:sz w:val="20"/>
                <w:szCs w:val="20"/>
                <w:highlight w:val="yellow"/>
              </w:rPr>
            </w:pPr>
            <w:r>
              <w:rPr>
                <w:rFonts w:hint="eastAsia" w:ascii="宋体" w:hAnsi="宋体" w:eastAsia="宋体" w:cs="宋体"/>
                <w:i w:val="0"/>
                <w:iCs w:val="0"/>
                <w:color w:val="000000"/>
                <w:kern w:val="0"/>
                <w:sz w:val="20"/>
                <w:szCs w:val="20"/>
                <w:u w:val="none"/>
                <w:lang w:val="en-US" w:eastAsia="zh-CN" w:bidi="ar"/>
              </w:rPr>
              <w:t>3</w:t>
            </w:r>
          </w:p>
        </w:tc>
        <w:tc>
          <w:tcPr>
            <w:tcW w:w="2059"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color w:val="000000"/>
                <w:sz w:val="20"/>
                <w:szCs w:val="20"/>
                <w:highlight w:val="yellow"/>
              </w:rPr>
            </w:pPr>
          </w:p>
        </w:tc>
      </w:tr>
      <w:tr>
        <w:tblPrEx>
          <w:tblCellMar>
            <w:top w:w="0" w:type="dxa"/>
            <w:left w:w="108" w:type="dxa"/>
            <w:bottom w:w="0" w:type="dxa"/>
            <w:right w:w="108" w:type="dxa"/>
          </w:tblCellMar>
        </w:tblPrEx>
        <w:trPr>
          <w:trHeight w:val="288" w:hRule="atLeast"/>
        </w:trPr>
        <w:tc>
          <w:tcPr>
            <w:tcW w:w="7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4"/>
              </w:rPr>
            </w:pPr>
          </w:p>
        </w:tc>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0"/>
                <w:szCs w:val="20"/>
              </w:rPr>
            </w:pPr>
          </w:p>
        </w:tc>
        <w:tc>
          <w:tcPr>
            <w:tcW w:w="15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楷体_GB2312" w:hAnsi="宋体" w:eastAsia="楷体_GB2312" w:cs="楷体_GB2312"/>
                <w:color w:val="000000"/>
                <w:sz w:val="20"/>
                <w:szCs w:val="20"/>
              </w:rPr>
            </w:pPr>
          </w:p>
        </w:tc>
        <w:tc>
          <w:tcPr>
            <w:tcW w:w="52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楷体_GB2312" w:hAnsi="宋体" w:eastAsia="楷体_GB2312" w:cs="楷体_GB2312"/>
                <w:color w:val="000000"/>
                <w:sz w:val="20"/>
                <w:szCs w:val="20"/>
              </w:rPr>
            </w:pPr>
          </w:p>
        </w:tc>
        <w:tc>
          <w:tcPr>
            <w:tcW w:w="217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服务对象满意度</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hAnsi="宋体" w:eastAsia="楷体_GB2312" w:cs="楷体_GB2312"/>
                <w:color w:val="000000"/>
                <w:sz w:val="20"/>
                <w:szCs w:val="20"/>
              </w:rPr>
            </w:pPr>
            <w:r>
              <w:rPr>
                <w:rFonts w:hint="default" w:ascii="楷体_GB2312" w:hAnsi="宋体" w:eastAsia="楷体_GB2312" w:cs="楷体_GB2312"/>
                <w:i w:val="0"/>
                <w:iCs w:val="0"/>
                <w:color w:val="000000"/>
                <w:kern w:val="0"/>
                <w:sz w:val="20"/>
                <w:szCs w:val="20"/>
                <w:u w:val="none"/>
                <w:lang w:val="en-US" w:eastAsia="zh-CN" w:bidi="ar"/>
              </w:rPr>
              <w:t>2</w:t>
            </w:r>
          </w:p>
        </w:tc>
        <w:tc>
          <w:tcPr>
            <w:tcW w:w="5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ascii="楷体_GB2312" w:hAnsi="宋体" w:eastAsia="楷体_GB2312" w:cs="楷体_GB2312"/>
                <w:color w:val="000000"/>
                <w:sz w:val="20"/>
                <w:szCs w:val="20"/>
                <w:highlight w:val="yellow"/>
              </w:rPr>
            </w:pPr>
            <w:r>
              <w:rPr>
                <w:rFonts w:hint="eastAsia" w:ascii="宋体" w:hAnsi="宋体" w:eastAsia="宋体" w:cs="宋体"/>
                <w:i w:val="0"/>
                <w:iCs w:val="0"/>
                <w:color w:val="000000"/>
                <w:kern w:val="0"/>
                <w:sz w:val="20"/>
                <w:szCs w:val="20"/>
                <w:u w:val="none"/>
                <w:lang w:val="en-US" w:eastAsia="zh-CN" w:bidi="ar"/>
              </w:rPr>
              <w:t>2</w:t>
            </w:r>
          </w:p>
        </w:tc>
        <w:tc>
          <w:tcPr>
            <w:tcW w:w="2059"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color w:val="000000"/>
                <w:sz w:val="20"/>
                <w:szCs w:val="20"/>
                <w:highlight w:val="yellow"/>
              </w:rPr>
            </w:pPr>
          </w:p>
        </w:tc>
      </w:tr>
      <w:tr>
        <w:tblPrEx>
          <w:tblCellMar>
            <w:top w:w="0" w:type="dxa"/>
            <w:left w:w="108" w:type="dxa"/>
            <w:bottom w:w="0" w:type="dxa"/>
            <w:right w:w="108" w:type="dxa"/>
          </w:tblCellMar>
        </w:tblPrEx>
        <w:trPr>
          <w:trHeight w:val="288" w:hRule="atLeast"/>
        </w:trPr>
        <w:tc>
          <w:tcPr>
            <w:tcW w:w="7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4"/>
              </w:rPr>
            </w:pPr>
          </w:p>
        </w:tc>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0"/>
                <w:szCs w:val="20"/>
              </w:rPr>
            </w:pPr>
          </w:p>
        </w:tc>
        <w:tc>
          <w:tcPr>
            <w:tcW w:w="156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hAnsi="宋体" w:eastAsia="楷体_GB2312" w:cs="楷体_GB2312"/>
                <w:color w:val="000000"/>
                <w:sz w:val="20"/>
                <w:szCs w:val="20"/>
              </w:rPr>
            </w:pPr>
            <w:r>
              <w:rPr>
                <w:rFonts w:hint="default" w:ascii="楷体_GB2312" w:hAnsi="宋体" w:eastAsia="楷体_GB2312" w:cs="楷体_GB2312"/>
                <w:i w:val="0"/>
                <w:iCs w:val="0"/>
                <w:color w:val="000000"/>
                <w:kern w:val="0"/>
                <w:sz w:val="20"/>
                <w:szCs w:val="20"/>
                <w:u w:val="none"/>
                <w:lang w:val="en-US" w:eastAsia="zh-CN" w:bidi="ar"/>
              </w:rPr>
              <w:t>可持续影响</w:t>
            </w:r>
          </w:p>
        </w:tc>
        <w:tc>
          <w:tcPr>
            <w:tcW w:w="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hAnsi="宋体" w:eastAsia="楷体_GB2312" w:cs="楷体_GB2312"/>
                <w:color w:val="000000"/>
                <w:sz w:val="20"/>
                <w:szCs w:val="20"/>
              </w:rPr>
            </w:pPr>
            <w:r>
              <w:rPr>
                <w:rFonts w:hint="default" w:ascii="楷体_GB2312" w:hAnsi="宋体" w:eastAsia="楷体_GB2312" w:cs="楷体_GB2312"/>
                <w:i w:val="0"/>
                <w:iCs w:val="0"/>
                <w:color w:val="000000"/>
                <w:kern w:val="0"/>
                <w:sz w:val="20"/>
                <w:szCs w:val="20"/>
                <w:u w:val="none"/>
                <w:lang w:val="en-US" w:eastAsia="zh-CN" w:bidi="ar"/>
              </w:rPr>
              <w:t>7</w:t>
            </w:r>
          </w:p>
        </w:tc>
        <w:tc>
          <w:tcPr>
            <w:tcW w:w="217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建后经营管理</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hAnsi="宋体" w:eastAsia="楷体_GB2312" w:cs="楷体_GB2312"/>
                <w:color w:val="000000"/>
                <w:sz w:val="20"/>
                <w:szCs w:val="20"/>
              </w:rPr>
            </w:pPr>
            <w:r>
              <w:rPr>
                <w:rFonts w:hint="default" w:ascii="楷体_GB2312" w:hAnsi="宋体" w:eastAsia="楷体_GB2312" w:cs="楷体_GB2312"/>
                <w:i w:val="0"/>
                <w:iCs w:val="0"/>
                <w:color w:val="000000"/>
                <w:kern w:val="0"/>
                <w:sz w:val="20"/>
                <w:szCs w:val="20"/>
                <w:u w:val="none"/>
                <w:lang w:val="en-US" w:eastAsia="zh-CN" w:bidi="ar"/>
              </w:rPr>
              <w:t>5</w:t>
            </w:r>
          </w:p>
        </w:tc>
        <w:tc>
          <w:tcPr>
            <w:tcW w:w="5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ascii="楷体_GB2312" w:hAnsi="宋体" w:eastAsia="楷体_GB2312" w:cs="楷体_GB2312"/>
                <w:color w:val="000000"/>
                <w:sz w:val="20"/>
                <w:szCs w:val="20"/>
                <w:highlight w:val="yellow"/>
              </w:rPr>
            </w:pPr>
          </w:p>
        </w:tc>
        <w:tc>
          <w:tcPr>
            <w:tcW w:w="205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ascii="宋体" w:hAnsi="宋体" w:cs="宋体"/>
                <w:color w:val="000000"/>
                <w:sz w:val="20"/>
                <w:szCs w:val="20"/>
                <w:highlight w:val="yellow"/>
              </w:rPr>
            </w:pPr>
            <w:r>
              <w:rPr>
                <w:rFonts w:hint="eastAsia" w:ascii="宋体" w:hAnsi="宋体" w:eastAsia="宋体" w:cs="宋体"/>
                <w:i w:val="0"/>
                <w:iCs w:val="0"/>
                <w:color w:val="000000"/>
                <w:kern w:val="0"/>
                <w:sz w:val="20"/>
                <w:szCs w:val="20"/>
                <w:u w:val="none"/>
                <w:lang w:val="en-US" w:eastAsia="zh-CN" w:bidi="ar"/>
              </w:rPr>
              <w:t>未见管护合同</w:t>
            </w:r>
          </w:p>
        </w:tc>
      </w:tr>
      <w:tr>
        <w:tblPrEx>
          <w:tblCellMar>
            <w:top w:w="0" w:type="dxa"/>
            <w:left w:w="108" w:type="dxa"/>
            <w:bottom w:w="0" w:type="dxa"/>
            <w:right w:w="108" w:type="dxa"/>
          </w:tblCellMar>
        </w:tblPrEx>
        <w:trPr>
          <w:trHeight w:val="288" w:hRule="atLeast"/>
        </w:trPr>
        <w:tc>
          <w:tcPr>
            <w:tcW w:w="7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4"/>
              </w:rPr>
            </w:pPr>
          </w:p>
        </w:tc>
        <w:tc>
          <w:tcPr>
            <w:tcW w:w="52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0"/>
                <w:szCs w:val="20"/>
              </w:rPr>
            </w:pPr>
          </w:p>
        </w:tc>
        <w:tc>
          <w:tcPr>
            <w:tcW w:w="156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楷体_GB2312" w:hAnsi="宋体" w:eastAsia="楷体_GB2312" w:cs="楷体_GB2312"/>
                <w:color w:val="000000"/>
                <w:sz w:val="20"/>
                <w:szCs w:val="20"/>
              </w:rPr>
            </w:pPr>
          </w:p>
        </w:tc>
        <w:tc>
          <w:tcPr>
            <w:tcW w:w="5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hAnsi="宋体" w:eastAsia="楷体_GB2312" w:cs="楷体_GB2312"/>
                <w:color w:val="000000"/>
                <w:sz w:val="20"/>
                <w:szCs w:val="20"/>
              </w:rPr>
            </w:pPr>
            <w:r>
              <w:rPr>
                <w:rFonts w:hint="default" w:ascii="楷体_GB2312" w:hAnsi="宋体" w:eastAsia="楷体_GB2312" w:cs="楷体_GB2312"/>
                <w:i w:val="0"/>
                <w:iCs w:val="0"/>
                <w:color w:val="000000"/>
                <w:kern w:val="0"/>
                <w:sz w:val="20"/>
                <w:szCs w:val="20"/>
                <w:u w:val="none"/>
                <w:lang w:val="en-US" w:eastAsia="zh-CN" w:bidi="ar"/>
              </w:rPr>
              <w:t>3</w:t>
            </w:r>
          </w:p>
        </w:tc>
        <w:tc>
          <w:tcPr>
            <w:tcW w:w="217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其他可能影响持续经营因素</w:t>
            </w:r>
          </w:p>
        </w:tc>
        <w:tc>
          <w:tcPr>
            <w:tcW w:w="53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hAnsi="宋体" w:eastAsia="楷体_GB2312" w:cs="楷体_GB2312"/>
                <w:color w:val="000000"/>
                <w:sz w:val="20"/>
                <w:szCs w:val="20"/>
              </w:rPr>
            </w:pPr>
            <w:r>
              <w:rPr>
                <w:rFonts w:hint="default" w:ascii="楷体_GB2312" w:hAnsi="宋体" w:eastAsia="楷体_GB2312" w:cs="楷体_GB2312"/>
                <w:i w:val="0"/>
                <w:iCs w:val="0"/>
                <w:color w:val="000000"/>
                <w:kern w:val="0"/>
                <w:sz w:val="20"/>
                <w:szCs w:val="20"/>
                <w:u w:val="none"/>
                <w:lang w:val="en-US" w:eastAsia="zh-CN" w:bidi="ar"/>
              </w:rPr>
              <w:t>5</w:t>
            </w:r>
          </w:p>
        </w:tc>
        <w:tc>
          <w:tcPr>
            <w:tcW w:w="54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ascii="楷体_GB2312" w:hAnsi="宋体" w:eastAsia="楷体_GB2312" w:cs="楷体_GB2312"/>
                <w:color w:val="000000"/>
                <w:sz w:val="20"/>
                <w:szCs w:val="20"/>
                <w:highlight w:val="yellow"/>
              </w:rPr>
            </w:pPr>
            <w:r>
              <w:rPr>
                <w:rFonts w:hint="eastAsia" w:ascii="宋体" w:hAnsi="宋体" w:eastAsia="宋体" w:cs="宋体"/>
                <w:i w:val="0"/>
                <w:iCs w:val="0"/>
                <w:color w:val="000000"/>
                <w:kern w:val="0"/>
                <w:sz w:val="20"/>
                <w:szCs w:val="20"/>
                <w:u w:val="none"/>
                <w:lang w:val="en-US" w:eastAsia="zh-CN" w:bidi="ar"/>
              </w:rPr>
              <w:t>4</w:t>
            </w:r>
          </w:p>
        </w:tc>
        <w:tc>
          <w:tcPr>
            <w:tcW w:w="205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ascii="宋体" w:hAnsi="宋体" w:cs="宋体"/>
                <w:color w:val="000000"/>
                <w:sz w:val="20"/>
                <w:szCs w:val="20"/>
                <w:highlight w:val="yellow"/>
              </w:rPr>
            </w:pPr>
            <w:r>
              <w:rPr>
                <w:rFonts w:hint="eastAsia" w:ascii="宋体" w:hAnsi="宋体" w:eastAsia="宋体" w:cs="宋体"/>
                <w:i w:val="0"/>
                <w:iCs w:val="0"/>
                <w:color w:val="000000"/>
                <w:kern w:val="0"/>
                <w:sz w:val="20"/>
                <w:szCs w:val="20"/>
                <w:u w:val="none"/>
                <w:lang w:val="en-US" w:eastAsia="zh-CN" w:bidi="ar"/>
              </w:rPr>
              <w:t>管护不落实</w:t>
            </w:r>
          </w:p>
        </w:tc>
      </w:tr>
      <w:tr>
        <w:tblPrEx>
          <w:tblCellMar>
            <w:top w:w="0" w:type="dxa"/>
            <w:left w:w="108" w:type="dxa"/>
            <w:bottom w:w="0" w:type="dxa"/>
            <w:right w:w="108" w:type="dxa"/>
          </w:tblCellMar>
        </w:tblPrEx>
        <w:trPr>
          <w:trHeight w:val="288" w:hRule="atLeast"/>
        </w:trPr>
        <w:tc>
          <w:tcPr>
            <w:tcW w:w="75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ascii="宋体" w:hAnsi="宋体" w:cs="宋体"/>
                <w:color w:val="000000"/>
                <w:sz w:val="20"/>
                <w:szCs w:val="20"/>
              </w:rPr>
            </w:pPr>
            <w:r>
              <w:rPr>
                <w:rFonts w:hint="eastAsia" w:ascii="宋体" w:hAnsi="宋体" w:eastAsia="宋体" w:cs="宋体"/>
                <w:i w:val="0"/>
                <w:iCs w:val="0"/>
                <w:color w:val="000000"/>
                <w:kern w:val="0"/>
                <w:sz w:val="20"/>
                <w:szCs w:val="20"/>
                <w:u w:val="none"/>
                <w:lang w:val="en-US" w:eastAsia="zh-CN" w:bidi="ar"/>
              </w:rPr>
              <w:t>总分</w:t>
            </w:r>
          </w:p>
        </w:tc>
        <w:tc>
          <w:tcPr>
            <w:tcW w:w="52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0"/>
                <w:szCs w:val="20"/>
                <w:u w:val="none"/>
                <w:lang w:val="en-US" w:eastAsia="zh-CN" w:bidi="ar"/>
              </w:rPr>
              <w:t>100</w:t>
            </w:r>
          </w:p>
        </w:tc>
        <w:tc>
          <w:tcPr>
            <w:tcW w:w="1567" w:type="dxa"/>
            <w:tcBorders>
              <w:top w:val="single" w:color="000000" w:sz="4" w:space="0"/>
              <w:left w:val="single" w:color="000000" w:sz="4" w:space="0"/>
              <w:bottom w:val="single" w:color="000000" w:sz="4" w:space="0"/>
              <w:right w:val="single" w:color="000000" w:sz="4" w:space="0"/>
            </w:tcBorders>
            <w:noWrap/>
            <w:vAlign w:val="center"/>
          </w:tcPr>
          <w:p>
            <w:pPr>
              <w:jc w:val="left"/>
            </w:pPr>
          </w:p>
        </w:tc>
        <w:tc>
          <w:tcPr>
            <w:tcW w:w="52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0"/>
                <w:szCs w:val="20"/>
                <w:u w:val="none"/>
                <w:lang w:val="en-US" w:eastAsia="zh-CN" w:bidi="ar"/>
              </w:rPr>
              <w:t>100</w:t>
            </w:r>
          </w:p>
        </w:tc>
        <w:tc>
          <w:tcPr>
            <w:tcW w:w="2179" w:type="dxa"/>
            <w:tcBorders>
              <w:top w:val="single" w:color="000000" w:sz="4" w:space="0"/>
              <w:left w:val="single" w:color="000000" w:sz="4" w:space="0"/>
              <w:bottom w:val="single" w:color="000000" w:sz="4" w:space="0"/>
              <w:right w:val="single" w:color="000000" w:sz="4" w:space="0"/>
            </w:tcBorders>
            <w:noWrap/>
            <w:vAlign w:val="center"/>
          </w:tcPr>
          <w:p>
            <w:pPr>
              <w:jc w:val="left"/>
            </w:pPr>
          </w:p>
        </w:tc>
        <w:tc>
          <w:tcPr>
            <w:tcW w:w="53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0"/>
                <w:szCs w:val="20"/>
                <w:u w:val="none"/>
                <w:lang w:val="en-US" w:eastAsia="zh-CN" w:bidi="ar"/>
              </w:rPr>
              <w:t>100</w:t>
            </w:r>
          </w:p>
        </w:tc>
        <w:tc>
          <w:tcPr>
            <w:tcW w:w="54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pPr>
            <w:r>
              <w:rPr>
                <w:rFonts w:hint="eastAsia" w:ascii="宋体" w:hAnsi="宋体" w:eastAsia="宋体" w:cs="宋体"/>
                <w:i w:val="0"/>
                <w:iCs w:val="0"/>
                <w:color w:val="000000"/>
                <w:kern w:val="0"/>
                <w:sz w:val="20"/>
                <w:szCs w:val="20"/>
                <w:u w:val="none"/>
                <w:lang w:val="en-US" w:eastAsia="zh-CN" w:bidi="ar"/>
              </w:rPr>
              <w:t>92</w:t>
            </w:r>
          </w:p>
        </w:tc>
        <w:tc>
          <w:tcPr>
            <w:tcW w:w="2059" w:type="dxa"/>
            <w:tcBorders>
              <w:top w:val="single" w:color="000000" w:sz="4" w:space="0"/>
              <w:left w:val="single" w:color="000000" w:sz="4" w:space="0"/>
              <w:bottom w:val="single" w:color="000000" w:sz="4" w:space="0"/>
              <w:right w:val="single" w:color="000000" w:sz="4" w:space="0"/>
            </w:tcBorders>
            <w:noWrap/>
            <w:vAlign w:val="center"/>
          </w:tcPr>
          <w:p/>
        </w:tc>
      </w:tr>
    </w:tbl>
    <w:p>
      <w:pPr>
        <w:spacing w:line="300" w:lineRule="auto"/>
        <w:ind w:firstLine="562" w:firstLineChars="200"/>
        <w:outlineLvl w:val="0"/>
        <w:rPr>
          <w:rFonts w:ascii="宋体" w:hAnsi="宋体" w:cs="宋体"/>
          <w:b/>
          <w:kern w:val="0"/>
          <w:sz w:val="28"/>
          <w:szCs w:val="28"/>
        </w:rPr>
      </w:pPr>
    </w:p>
    <w:p>
      <w:pPr>
        <w:spacing w:line="300" w:lineRule="auto"/>
        <w:ind w:firstLine="562" w:firstLineChars="200"/>
        <w:outlineLvl w:val="0"/>
        <w:rPr>
          <w:rFonts w:ascii="仿宋_GB2312"/>
          <w:b/>
          <w:color w:val="000000" w:themeColor="text1"/>
          <w:sz w:val="28"/>
          <w:szCs w:val="28"/>
        </w:rPr>
      </w:pPr>
      <w:r>
        <w:rPr>
          <w:rFonts w:hint="eastAsia" w:ascii="宋体" w:hAnsi="宋体" w:cs="宋体"/>
          <w:b/>
          <w:color w:val="000000" w:themeColor="text1"/>
          <w:kern w:val="0"/>
          <w:sz w:val="28"/>
          <w:szCs w:val="28"/>
        </w:rPr>
        <w:t>（二）</w:t>
      </w:r>
      <w:r>
        <w:rPr>
          <w:rFonts w:hint="eastAsia" w:ascii="仿宋_GB2312"/>
          <w:b/>
          <w:color w:val="000000" w:themeColor="text1"/>
          <w:sz w:val="28"/>
          <w:szCs w:val="28"/>
        </w:rPr>
        <w:t>主要结论</w:t>
      </w:r>
    </w:p>
    <w:p>
      <w:pPr>
        <w:spacing w:line="300" w:lineRule="auto"/>
        <w:ind w:firstLine="560" w:firstLineChars="200"/>
        <w:rPr>
          <w:rFonts w:ascii="仿宋_GB2312" w:hAnsi="宋体" w:eastAsia="仿宋_GB2312"/>
          <w:color w:val="000000" w:themeColor="text1"/>
          <w:sz w:val="28"/>
          <w:szCs w:val="28"/>
        </w:rPr>
      </w:pPr>
      <w:r>
        <w:rPr>
          <w:rFonts w:hint="eastAsia" w:ascii="仿宋_GB2312" w:hAnsi="宋体" w:eastAsia="仿宋_GB2312"/>
          <w:color w:val="000000" w:themeColor="text1"/>
          <w:sz w:val="28"/>
          <w:szCs w:val="28"/>
        </w:rPr>
        <w:t>通过对赵寨村冯家径至沙窝村朝垅道路硬化工程项目财政衔接资金在投入、过程、产出和效果等方面的综合评价，得出如下结论：</w:t>
      </w:r>
    </w:p>
    <w:p>
      <w:pPr>
        <w:spacing w:line="300" w:lineRule="auto"/>
        <w:ind w:firstLine="560" w:firstLineChars="200"/>
        <w:rPr>
          <w:rFonts w:ascii="仿宋_GB2312" w:hAnsi="宋体" w:eastAsia="仿宋_GB2312"/>
          <w:color w:val="000000" w:themeColor="text1"/>
          <w:sz w:val="28"/>
          <w:szCs w:val="28"/>
        </w:rPr>
      </w:pPr>
      <w:r>
        <w:rPr>
          <w:rFonts w:hint="eastAsia" w:ascii="仿宋_GB2312" w:hAnsi="宋体" w:eastAsia="仿宋_GB2312"/>
          <w:color w:val="000000" w:themeColor="text1"/>
          <w:sz w:val="28"/>
          <w:szCs w:val="28"/>
        </w:rPr>
        <w:t>1、赵寨村冯家径至沙窝村朝垅道路硬化工程项目的立项，符合国家乡村振兴政策。项目所设定的绩效目标依据充分，符合客观事实；根据绩效目标设定的绩效指标较为明确。</w:t>
      </w:r>
    </w:p>
    <w:p>
      <w:pPr>
        <w:spacing w:line="300" w:lineRule="auto"/>
        <w:ind w:firstLine="560" w:firstLineChars="200"/>
        <w:rPr>
          <w:rFonts w:ascii="仿宋_GB2312" w:hAnsi="宋体" w:eastAsia="仿宋_GB2312"/>
          <w:color w:val="000000" w:themeColor="text1"/>
          <w:sz w:val="28"/>
          <w:szCs w:val="28"/>
        </w:rPr>
      </w:pPr>
      <w:r>
        <w:rPr>
          <w:rFonts w:hint="eastAsia" w:ascii="仿宋_GB2312" w:hAnsi="宋体" w:eastAsia="仿宋_GB2312"/>
          <w:color w:val="000000" w:themeColor="text1"/>
          <w:sz w:val="28"/>
          <w:szCs w:val="28"/>
        </w:rPr>
        <w:t>2、项目在工程管理、资金拨付等方面，基本符合国家政策要求。特别是项目资金严格实行专款专用，项目资金拨付和使用合法、规范。</w:t>
      </w:r>
    </w:p>
    <w:p>
      <w:pPr>
        <w:widowControl/>
        <w:spacing w:line="300" w:lineRule="auto"/>
        <w:ind w:firstLine="562" w:firstLineChars="200"/>
        <w:jc w:val="left"/>
        <w:rPr>
          <w:rFonts w:ascii="宋体" w:hAnsi="宋体" w:cs="宋体"/>
          <w:b/>
          <w:bCs/>
          <w:color w:val="000000" w:themeColor="text1"/>
          <w:kern w:val="0"/>
          <w:sz w:val="28"/>
          <w:szCs w:val="28"/>
        </w:rPr>
      </w:pPr>
      <w:r>
        <w:rPr>
          <w:rFonts w:hint="eastAsia" w:ascii="宋体" w:hAnsi="宋体" w:cs="宋体"/>
          <w:b/>
          <w:bCs/>
          <w:color w:val="000000" w:themeColor="text1"/>
          <w:kern w:val="0"/>
          <w:sz w:val="28"/>
          <w:szCs w:val="28"/>
        </w:rPr>
        <w:t>三、项目</w:t>
      </w:r>
      <w:r>
        <w:rPr>
          <w:rFonts w:hint="eastAsia" w:ascii="仿宋_GB2312"/>
          <w:b/>
          <w:color w:val="000000" w:themeColor="text1"/>
          <w:sz w:val="28"/>
          <w:szCs w:val="28"/>
        </w:rPr>
        <w:t>主要经验、存在的问题和建议</w:t>
      </w:r>
    </w:p>
    <w:p>
      <w:pPr>
        <w:widowControl/>
        <w:spacing w:line="300" w:lineRule="auto"/>
        <w:ind w:firstLine="540" w:firstLineChars="192"/>
        <w:jc w:val="left"/>
        <w:rPr>
          <w:rFonts w:ascii="仿宋_GB2312"/>
          <w:b/>
          <w:color w:val="000000" w:themeColor="text1"/>
          <w:sz w:val="28"/>
          <w:szCs w:val="28"/>
        </w:rPr>
      </w:pPr>
      <w:r>
        <w:rPr>
          <w:rFonts w:hint="eastAsia" w:ascii="宋体" w:hAnsi="宋体" w:cs="宋体"/>
          <w:b/>
          <w:bCs/>
          <w:color w:val="000000" w:themeColor="text1"/>
          <w:kern w:val="0"/>
          <w:sz w:val="28"/>
          <w:szCs w:val="28"/>
        </w:rPr>
        <w:t>（一）</w:t>
      </w:r>
      <w:r>
        <w:rPr>
          <w:rFonts w:hint="eastAsia" w:ascii="仿宋_GB2312"/>
          <w:b/>
          <w:color w:val="000000" w:themeColor="text1"/>
          <w:sz w:val="28"/>
          <w:szCs w:val="28"/>
        </w:rPr>
        <w:t>主要经验和做法</w:t>
      </w:r>
    </w:p>
    <w:p>
      <w:pPr>
        <w:widowControl/>
        <w:spacing w:line="300" w:lineRule="auto"/>
        <w:ind w:firstLine="537" w:firstLineChars="192"/>
        <w:rPr>
          <w:rFonts w:ascii="仿宋_GB2312" w:hAnsi="宋体" w:eastAsia="仿宋_GB2312"/>
          <w:color w:val="000000" w:themeColor="text1"/>
          <w:sz w:val="28"/>
          <w:szCs w:val="28"/>
        </w:rPr>
      </w:pPr>
      <w:r>
        <w:rPr>
          <w:rFonts w:hint="eastAsia" w:ascii="仿宋_GB2312" w:hAnsi="宋体" w:eastAsia="仿宋_GB2312"/>
          <w:color w:val="000000" w:themeColor="text1"/>
          <w:sz w:val="28"/>
          <w:szCs w:val="28"/>
        </w:rPr>
        <w:t>一是项目前期准备充分。在申报赵寨村冯家径至沙窝村朝垅道路硬化工程项目前，村严格执行了“四议两公开”的程序，让项目获得了群众极大的认同感，有广泛的群众基础。且经过“两上两下”的流程，让项目获得财政衔接资金符合国家的产业政策。</w:t>
      </w:r>
    </w:p>
    <w:p>
      <w:pPr>
        <w:widowControl/>
        <w:spacing w:line="300" w:lineRule="auto"/>
        <w:ind w:firstLine="537" w:firstLineChars="192"/>
        <w:jc w:val="left"/>
        <w:rPr>
          <w:rFonts w:ascii="仿宋_GB2312" w:hAnsi="宋体" w:eastAsia="仿宋_GB2312"/>
          <w:color w:val="000000" w:themeColor="text1"/>
          <w:sz w:val="28"/>
          <w:szCs w:val="28"/>
        </w:rPr>
      </w:pPr>
      <w:r>
        <w:rPr>
          <w:rFonts w:hint="eastAsia" w:ascii="仿宋_GB2312" w:hAnsi="宋体" w:eastAsia="仿宋_GB2312"/>
          <w:color w:val="000000" w:themeColor="text1"/>
          <w:sz w:val="28"/>
          <w:szCs w:val="28"/>
        </w:rPr>
        <w:t>二是临空区财金局高度重视项目绩效管理。对沙窝乡上报的项目绩效进行审核和批复，并按规定进行公示，确保项目绩效设置比较合理、方便考核。</w:t>
      </w:r>
    </w:p>
    <w:p>
      <w:pPr>
        <w:widowControl/>
        <w:spacing w:line="300" w:lineRule="auto"/>
        <w:ind w:firstLine="537" w:firstLineChars="192"/>
        <w:jc w:val="left"/>
        <w:rPr>
          <w:rFonts w:ascii="仿宋_GB2312" w:hAnsi="宋体" w:eastAsia="仿宋_GB2312"/>
          <w:color w:val="000000" w:themeColor="text1"/>
          <w:sz w:val="28"/>
          <w:szCs w:val="28"/>
        </w:rPr>
      </w:pPr>
      <w:r>
        <w:rPr>
          <w:rFonts w:hint="eastAsia" w:ascii="仿宋_GB2312" w:hAnsi="宋体" w:eastAsia="仿宋_GB2312"/>
          <w:color w:val="000000" w:themeColor="text1"/>
          <w:sz w:val="28"/>
          <w:szCs w:val="28"/>
        </w:rPr>
        <w:t>三是项目单位按照《实施方案》的要求，规范实施程序。赵寨村冯家径至沙窝村朝垅道路硬化工程项目得到区级批复后，赵寨村立即启动项目招标，选择施工队伍。同时，为规范项目质量，对项目实行合同制、监理制和竣工结算等管理制度。</w:t>
      </w:r>
    </w:p>
    <w:p>
      <w:pPr>
        <w:widowControl/>
        <w:spacing w:line="300" w:lineRule="auto"/>
        <w:ind w:firstLine="537" w:firstLineChars="192"/>
        <w:jc w:val="left"/>
        <w:rPr>
          <w:color w:val="000000" w:themeColor="text1"/>
        </w:rPr>
      </w:pPr>
      <w:r>
        <w:rPr>
          <w:rFonts w:hint="eastAsia" w:ascii="仿宋_GB2312" w:hAnsi="宋体" w:eastAsia="仿宋_GB2312"/>
          <w:color w:val="000000" w:themeColor="text1"/>
          <w:sz w:val="28"/>
          <w:szCs w:val="28"/>
        </w:rPr>
        <w:t>四是逐层申报项目资金。项目实施过程中，采取“村申请、乡审核、区主管部门申报、管委会批准”的方式，下拨项目资金，确保资金按进度拨付，按渠道使用。</w:t>
      </w:r>
    </w:p>
    <w:p>
      <w:pPr>
        <w:widowControl/>
        <w:spacing w:line="300" w:lineRule="auto"/>
        <w:ind w:firstLine="540" w:firstLineChars="192"/>
        <w:jc w:val="left"/>
        <w:rPr>
          <w:rFonts w:ascii="宋体" w:hAnsi="宋体" w:cs="宋体"/>
          <w:b/>
          <w:bCs/>
          <w:color w:val="000000" w:themeColor="text1"/>
          <w:kern w:val="0"/>
          <w:sz w:val="28"/>
          <w:szCs w:val="28"/>
        </w:rPr>
      </w:pPr>
      <w:r>
        <w:rPr>
          <w:rFonts w:hint="eastAsia" w:ascii="仿宋_GB2312"/>
          <w:b/>
          <w:color w:val="000000" w:themeColor="text1"/>
          <w:sz w:val="28"/>
          <w:szCs w:val="28"/>
        </w:rPr>
        <w:t>（二）</w:t>
      </w:r>
      <w:r>
        <w:rPr>
          <w:rFonts w:hint="eastAsia" w:ascii="宋体" w:hAnsi="宋体" w:cs="宋体"/>
          <w:b/>
          <w:bCs/>
          <w:color w:val="000000" w:themeColor="text1"/>
          <w:kern w:val="0"/>
          <w:sz w:val="28"/>
          <w:szCs w:val="28"/>
        </w:rPr>
        <w:t>存在的主要问题</w:t>
      </w:r>
    </w:p>
    <w:p>
      <w:pPr>
        <w:widowControl/>
        <w:spacing w:line="300" w:lineRule="auto"/>
        <w:ind w:firstLine="537" w:firstLineChars="192"/>
        <w:rPr>
          <w:rFonts w:ascii="仿宋_GB2312" w:hAnsi="宋体" w:eastAsia="仿宋_GB2312"/>
          <w:color w:val="000000" w:themeColor="text1"/>
          <w:sz w:val="28"/>
          <w:szCs w:val="28"/>
        </w:rPr>
      </w:pPr>
      <w:r>
        <w:rPr>
          <w:rFonts w:hint="eastAsia" w:ascii="仿宋_GB2312" w:hAnsi="宋体" w:eastAsia="仿宋_GB2312"/>
          <w:color w:val="000000" w:themeColor="text1"/>
          <w:sz w:val="28"/>
          <w:szCs w:val="28"/>
        </w:rPr>
        <w:t>一是存在超计划投资的可能。项目计划投资150万元，而经结算审定的投资是152.88万元。该项目实行了工程监理和结算审计，应该支付相关的服务费用，导致项目投资可能存在超计划的可能。</w:t>
      </w:r>
    </w:p>
    <w:p>
      <w:pPr>
        <w:widowControl/>
        <w:spacing w:line="300" w:lineRule="auto"/>
        <w:ind w:firstLine="537" w:firstLineChars="192"/>
        <w:jc w:val="left"/>
        <w:rPr>
          <w:rFonts w:ascii="仿宋_GB2312" w:hAnsi="宋体" w:eastAsia="仿宋_GB2312"/>
          <w:color w:val="000000" w:themeColor="text1"/>
          <w:sz w:val="28"/>
          <w:szCs w:val="28"/>
        </w:rPr>
      </w:pPr>
      <w:r>
        <w:rPr>
          <w:rFonts w:hint="eastAsia" w:ascii="仿宋_GB2312" w:hAnsi="宋体" w:eastAsia="仿宋_GB2312"/>
          <w:color w:val="000000" w:themeColor="text1"/>
          <w:sz w:val="28"/>
          <w:szCs w:val="28"/>
        </w:rPr>
        <w:t>二是未见道路管护合同。道路建成后，未见道路移交农村公路管理部门管理的合同，也未见签订后期的管护协议。</w:t>
      </w:r>
    </w:p>
    <w:p>
      <w:pPr>
        <w:widowControl/>
        <w:spacing w:line="300" w:lineRule="auto"/>
        <w:ind w:firstLine="540" w:firstLineChars="192"/>
        <w:jc w:val="left"/>
        <w:rPr>
          <w:rFonts w:ascii="宋体" w:hAnsi="宋体" w:cs="宋体"/>
          <w:b/>
          <w:bCs/>
          <w:color w:val="000000" w:themeColor="text1"/>
          <w:kern w:val="0"/>
          <w:sz w:val="28"/>
          <w:szCs w:val="28"/>
        </w:rPr>
      </w:pPr>
      <w:r>
        <w:rPr>
          <w:rFonts w:hint="eastAsia" w:ascii="宋体" w:hAnsi="宋体" w:cs="宋体"/>
          <w:b/>
          <w:bCs/>
          <w:color w:val="000000" w:themeColor="text1"/>
          <w:kern w:val="0"/>
          <w:sz w:val="28"/>
          <w:szCs w:val="28"/>
        </w:rPr>
        <w:t>（三）建议及改进措施</w:t>
      </w:r>
    </w:p>
    <w:p>
      <w:pPr>
        <w:widowControl/>
        <w:spacing w:line="300" w:lineRule="auto"/>
        <w:ind w:firstLine="537" w:firstLineChars="192"/>
        <w:jc w:val="left"/>
        <w:rPr>
          <w:rFonts w:ascii="仿宋_GB2312" w:hAnsi="宋体" w:eastAsia="仿宋_GB2312"/>
          <w:color w:val="000000" w:themeColor="text1"/>
          <w:sz w:val="28"/>
          <w:szCs w:val="28"/>
        </w:rPr>
      </w:pPr>
      <w:r>
        <w:rPr>
          <w:rFonts w:hint="eastAsia" w:ascii="仿宋_GB2312" w:hAnsi="宋体" w:eastAsia="仿宋_GB2312"/>
          <w:color w:val="000000" w:themeColor="text1"/>
          <w:sz w:val="28"/>
          <w:szCs w:val="28"/>
        </w:rPr>
        <w:t>一是合理确定项目投资，避免出现资金来源不落实的问题发生。项目实施前，合理估算项目总投资并向上级申报，准确及时确定项目资金来源。</w:t>
      </w:r>
    </w:p>
    <w:p>
      <w:pPr>
        <w:widowControl/>
        <w:spacing w:line="300" w:lineRule="auto"/>
        <w:ind w:firstLine="537" w:firstLineChars="192"/>
        <w:jc w:val="left"/>
        <w:rPr>
          <w:rFonts w:ascii="仿宋_GB2312" w:hAnsi="宋体" w:eastAsia="仿宋_GB2312"/>
          <w:color w:val="000000" w:themeColor="text1"/>
          <w:sz w:val="28"/>
          <w:szCs w:val="28"/>
        </w:rPr>
      </w:pPr>
      <w:r>
        <w:rPr>
          <w:rFonts w:hint="eastAsia" w:ascii="仿宋_GB2312" w:hAnsi="宋体" w:eastAsia="仿宋_GB2312"/>
          <w:color w:val="000000" w:themeColor="text1"/>
          <w:sz w:val="28"/>
          <w:szCs w:val="28"/>
        </w:rPr>
        <w:t>二是加强项目后期管护，充分发挥项目资金的绩效。项目可持续影响指标设定：项目使用年限不少于15年。为达到项目的实施目标，必须加强项目的后期管护。</w:t>
      </w:r>
    </w:p>
    <w:p>
      <w:pPr>
        <w:widowControl/>
        <w:spacing w:line="300" w:lineRule="auto"/>
        <w:ind w:firstLine="537" w:firstLineChars="192"/>
        <w:jc w:val="left"/>
        <w:rPr>
          <w:rFonts w:ascii="仿宋_GB2312" w:hAnsi="宋体" w:eastAsia="仿宋_GB2312"/>
          <w:sz w:val="28"/>
          <w:szCs w:val="28"/>
        </w:rPr>
      </w:pPr>
    </w:p>
    <w:p>
      <w:pPr>
        <w:widowControl/>
        <w:spacing w:line="300" w:lineRule="auto"/>
        <w:ind w:firstLine="537" w:firstLineChars="192"/>
        <w:jc w:val="left"/>
        <w:rPr>
          <w:rFonts w:ascii="仿宋_GB2312" w:hAnsi="宋体" w:eastAsia="仿宋_GB2312"/>
          <w:sz w:val="28"/>
          <w:szCs w:val="28"/>
        </w:rPr>
      </w:pPr>
    </w:p>
    <w:p>
      <w:pPr>
        <w:widowControl/>
        <w:spacing w:line="300" w:lineRule="auto"/>
        <w:ind w:firstLine="2520" w:firstLineChars="900"/>
        <w:jc w:val="left"/>
        <w:rPr>
          <w:rFonts w:hint="eastAsia" w:ascii="仿宋_GB2312" w:hAnsi="宋体" w:eastAsia="仿宋_GB2312" w:cs="Times New Roman"/>
          <w:sz w:val="28"/>
          <w:szCs w:val="28"/>
          <w:lang w:val="en-US" w:eastAsia="zh-CN"/>
        </w:rPr>
      </w:pPr>
    </w:p>
    <w:p>
      <w:pPr>
        <w:widowControl/>
        <w:spacing w:line="300" w:lineRule="auto"/>
        <w:ind w:firstLine="2520" w:firstLineChars="900"/>
        <w:jc w:val="left"/>
        <w:rPr>
          <w:rFonts w:hint="eastAsia" w:ascii="仿宋_GB2312" w:hAnsi="宋体" w:eastAsia="仿宋_GB2312" w:cs="Times New Roman"/>
          <w:sz w:val="28"/>
          <w:szCs w:val="28"/>
          <w:lang w:val="en-US" w:eastAsia="zh-CN"/>
        </w:rPr>
      </w:pPr>
      <w:r>
        <w:rPr>
          <w:rFonts w:hint="eastAsia" w:ascii="仿宋_GB2312" w:hAnsi="宋体" w:eastAsia="仿宋_GB2312" w:cs="Times New Roman"/>
          <w:sz w:val="28"/>
          <w:szCs w:val="28"/>
          <w:lang w:val="en-US" w:eastAsia="zh-CN"/>
        </w:rPr>
        <w:t>湖北众信会计师事务有限公司</w:t>
      </w:r>
    </w:p>
    <w:p>
      <w:pPr>
        <w:widowControl/>
        <w:spacing w:line="300" w:lineRule="auto"/>
        <w:ind w:firstLine="3360" w:firstLineChars="1200"/>
        <w:jc w:val="left"/>
      </w:pPr>
      <w:r>
        <w:rPr>
          <w:rFonts w:hint="eastAsia" w:ascii="仿宋_GB2312" w:hAnsi="宋体" w:eastAsia="仿宋_GB2312" w:cs="Times New Roman"/>
          <w:sz w:val="28"/>
          <w:szCs w:val="28"/>
          <w:lang w:val="en-US" w:eastAsia="zh-CN"/>
        </w:rPr>
        <w:t>2023年12月31日</w:t>
      </w:r>
    </w:p>
    <w:sectPr>
      <w:headerReference r:id="rId4" w:type="first"/>
      <w:footerReference r:id="rId6" w:type="first"/>
      <w:headerReference r:id="rId3" w:type="default"/>
      <w:footerReference r:id="rId5" w:type="default"/>
      <w:pgSz w:w="11906" w:h="16838"/>
      <w:pgMar w:top="1440" w:right="1800" w:bottom="1440" w:left="1800" w:header="851" w:footer="992"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00"/>
    <w:family w:val="auto"/>
    <w:pitch w:val="default"/>
    <w:sig w:usb0="00000000" w:usb1="00000000" w:usb2="00000000" w:usb3="00000000" w:csb0="00040001" w:csb1="00000000"/>
  </w:font>
  <w:font w:name="ˎ̥">
    <w:altName w:val="Times New Roman"/>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single" w:color="auto" w:sz="4" w:space="0"/>
      </w:pBdr>
    </w:pPr>
    <w:r>
      <w:rPr>
        <w:rFonts w:hint="eastAsia"/>
        <w:b w:val="0"/>
        <w:bCs/>
        <w:sz w:val="18"/>
        <w:szCs w:val="18"/>
        <w:lang w:val="en-US" w:eastAsia="zh-CN"/>
      </w:rPr>
      <w:t xml:space="preserve">                                                       </w:t>
    </w:r>
    <w:r>
      <w:rPr>
        <w:rFonts w:hint="eastAsia"/>
        <w:b w:val="0"/>
        <w:bCs/>
        <w:sz w:val="18"/>
        <w:szCs w:val="18"/>
      </w:rPr>
      <w:t>赵寨村冯家径至沙窝村朝垅道路硬化工程项目</w:t>
    </w:r>
    <w:r>
      <w:rPr>
        <w:rFonts w:hint="eastAsia"/>
        <w:lang w:val="en-US" w:eastAsia="zh-CN"/>
      </w:rPr>
      <w:t>财政</w:t>
    </w:r>
    <w:r>
      <w:rPr>
        <w:rFonts w:hint="eastAsia"/>
      </w:rPr>
      <w:t>衔接资金绩效评价报告</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isplayHorizontalDrawingGridEvery w:val="1"/>
  <w:displayVerticalDrawingGridEvery w:val="1"/>
  <w:noPunctuationKerning w:val="1"/>
  <w:characterSpacingControl w:val="doNotCompress"/>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U2NzM1MTAwZWRiNWI4Njk2YWVhNDM3Yjc2MjIwNmUifQ=="/>
  </w:docVars>
  <w:rsids>
    <w:rsidRoot w:val="006B6799"/>
    <w:rsid w:val="00023B13"/>
    <w:rsid w:val="000305AF"/>
    <w:rsid w:val="00044A79"/>
    <w:rsid w:val="00080AEA"/>
    <w:rsid w:val="000A6112"/>
    <w:rsid w:val="000C18F9"/>
    <w:rsid w:val="000C5BE1"/>
    <w:rsid w:val="000E2E65"/>
    <w:rsid w:val="00100D5F"/>
    <w:rsid w:val="001027C5"/>
    <w:rsid w:val="00121573"/>
    <w:rsid w:val="00122B57"/>
    <w:rsid w:val="00173A50"/>
    <w:rsid w:val="001769B3"/>
    <w:rsid w:val="00182EA3"/>
    <w:rsid w:val="00184A71"/>
    <w:rsid w:val="0019475E"/>
    <w:rsid w:val="00214474"/>
    <w:rsid w:val="00217698"/>
    <w:rsid w:val="00236052"/>
    <w:rsid w:val="00245F70"/>
    <w:rsid w:val="002513D9"/>
    <w:rsid w:val="00254578"/>
    <w:rsid w:val="00262A8D"/>
    <w:rsid w:val="00287EB9"/>
    <w:rsid w:val="00290209"/>
    <w:rsid w:val="002D3082"/>
    <w:rsid w:val="002D475E"/>
    <w:rsid w:val="002F227B"/>
    <w:rsid w:val="003415C5"/>
    <w:rsid w:val="003A6B41"/>
    <w:rsid w:val="003A7657"/>
    <w:rsid w:val="003D1CA8"/>
    <w:rsid w:val="00427275"/>
    <w:rsid w:val="00437BD7"/>
    <w:rsid w:val="00452E84"/>
    <w:rsid w:val="00495569"/>
    <w:rsid w:val="004A7C6D"/>
    <w:rsid w:val="004B01EC"/>
    <w:rsid w:val="005013F4"/>
    <w:rsid w:val="005170DA"/>
    <w:rsid w:val="00566CDB"/>
    <w:rsid w:val="005D3615"/>
    <w:rsid w:val="00602E61"/>
    <w:rsid w:val="006140E0"/>
    <w:rsid w:val="00623968"/>
    <w:rsid w:val="00654688"/>
    <w:rsid w:val="00677DF0"/>
    <w:rsid w:val="006B07EF"/>
    <w:rsid w:val="006B6799"/>
    <w:rsid w:val="006D178F"/>
    <w:rsid w:val="006D5270"/>
    <w:rsid w:val="006F2EFD"/>
    <w:rsid w:val="00707620"/>
    <w:rsid w:val="007110A6"/>
    <w:rsid w:val="00772E94"/>
    <w:rsid w:val="00783BDF"/>
    <w:rsid w:val="007A203C"/>
    <w:rsid w:val="007D67BB"/>
    <w:rsid w:val="00823B49"/>
    <w:rsid w:val="0082547B"/>
    <w:rsid w:val="0085024E"/>
    <w:rsid w:val="008E5ACE"/>
    <w:rsid w:val="009068DF"/>
    <w:rsid w:val="00937D08"/>
    <w:rsid w:val="00984C0B"/>
    <w:rsid w:val="00986080"/>
    <w:rsid w:val="00987F43"/>
    <w:rsid w:val="009A72AB"/>
    <w:rsid w:val="009D39CC"/>
    <w:rsid w:val="00A66BEB"/>
    <w:rsid w:val="00A976AC"/>
    <w:rsid w:val="00AF1B29"/>
    <w:rsid w:val="00AF65EC"/>
    <w:rsid w:val="00B007E0"/>
    <w:rsid w:val="00B21094"/>
    <w:rsid w:val="00B32D9E"/>
    <w:rsid w:val="00B331D6"/>
    <w:rsid w:val="00B46C3E"/>
    <w:rsid w:val="00B71791"/>
    <w:rsid w:val="00BA67B1"/>
    <w:rsid w:val="00C73232"/>
    <w:rsid w:val="00CC4D52"/>
    <w:rsid w:val="00D023EC"/>
    <w:rsid w:val="00D069DA"/>
    <w:rsid w:val="00D105BC"/>
    <w:rsid w:val="00D14735"/>
    <w:rsid w:val="00D2181E"/>
    <w:rsid w:val="00D2784D"/>
    <w:rsid w:val="00D63748"/>
    <w:rsid w:val="00D77892"/>
    <w:rsid w:val="00DA08DE"/>
    <w:rsid w:val="00DB0530"/>
    <w:rsid w:val="00DB54FB"/>
    <w:rsid w:val="00DC69DC"/>
    <w:rsid w:val="00DF53EF"/>
    <w:rsid w:val="00E12B53"/>
    <w:rsid w:val="00E30033"/>
    <w:rsid w:val="00E43E19"/>
    <w:rsid w:val="00E541B1"/>
    <w:rsid w:val="00E54672"/>
    <w:rsid w:val="00E70159"/>
    <w:rsid w:val="00E87294"/>
    <w:rsid w:val="00E95D13"/>
    <w:rsid w:val="00EC68DC"/>
    <w:rsid w:val="00ED5E64"/>
    <w:rsid w:val="00F014C9"/>
    <w:rsid w:val="00F12705"/>
    <w:rsid w:val="00F14292"/>
    <w:rsid w:val="00F2674A"/>
    <w:rsid w:val="00F92514"/>
    <w:rsid w:val="00F953B4"/>
    <w:rsid w:val="00FA2537"/>
    <w:rsid w:val="00FD674B"/>
    <w:rsid w:val="00FD76ED"/>
    <w:rsid w:val="00FF3EAB"/>
    <w:rsid w:val="086D6E8B"/>
    <w:rsid w:val="0CE409CF"/>
    <w:rsid w:val="0EC77E50"/>
    <w:rsid w:val="0FAB6212"/>
    <w:rsid w:val="19D674A8"/>
    <w:rsid w:val="1E134421"/>
    <w:rsid w:val="20907E5E"/>
    <w:rsid w:val="2B5D59A3"/>
    <w:rsid w:val="2D9C6C02"/>
    <w:rsid w:val="30A262C5"/>
    <w:rsid w:val="33725592"/>
    <w:rsid w:val="3CE034C5"/>
    <w:rsid w:val="460C3654"/>
    <w:rsid w:val="468C4A26"/>
    <w:rsid w:val="552B0DBC"/>
    <w:rsid w:val="5A3703E6"/>
    <w:rsid w:val="5B6339F0"/>
    <w:rsid w:val="5C6D053E"/>
    <w:rsid w:val="5D953E6D"/>
    <w:rsid w:val="6B0101E1"/>
    <w:rsid w:val="702C2015"/>
    <w:rsid w:val="74FB64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2"/>
    <w:autoRedefine/>
    <w:qFormat/>
    <w:uiPriority w:val="0"/>
    <w:pPr>
      <w:keepNext/>
      <w:keepLines/>
      <w:spacing w:before="340" w:after="330" w:line="576" w:lineRule="auto"/>
      <w:outlineLvl w:val="0"/>
    </w:pPr>
    <w:rPr>
      <w:rFonts w:ascii="Calibri" w:hAnsi="Calibri"/>
      <w:b/>
      <w:bCs/>
      <w:kern w:val="44"/>
      <w:sz w:val="44"/>
      <w:szCs w:val="44"/>
    </w:rPr>
  </w:style>
  <w:style w:type="paragraph" w:styleId="4">
    <w:name w:val="heading 2"/>
    <w:basedOn w:val="1"/>
    <w:next w:val="1"/>
    <w:link w:val="15"/>
    <w:autoRedefine/>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0">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2">
    <w:name w:val="Title"/>
    <w:basedOn w:val="1"/>
    <w:next w:val="1"/>
    <w:link w:val="11"/>
    <w:autoRedefine/>
    <w:qFormat/>
    <w:uiPriority w:val="10"/>
    <w:pPr>
      <w:spacing w:before="240" w:after="60"/>
      <w:jc w:val="center"/>
      <w:outlineLvl w:val="0"/>
    </w:pPr>
    <w:rPr>
      <w:rFonts w:asciiTheme="majorHAnsi" w:hAnsiTheme="majorHAnsi" w:eastAsiaTheme="majorEastAsia" w:cstheme="majorBidi"/>
      <w:b/>
      <w:bCs/>
      <w:sz w:val="32"/>
      <w:szCs w:val="32"/>
    </w:rPr>
  </w:style>
  <w:style w:type="paragraph" w:styleId="5">
    <w:name w:val="Body Text"/>
    <w:basedOn w:val="1"/>
    <w:link w:val="13"/>
    <w:autoRedefine/>
    <w:semiHidden/>
    <w:unhideWhenUsed/>
    <w:qFormat/>
    <w:uiPriority w:val="99"/>
    <w:pPr>
      <w:spacing w:after="120"/>
    </w:pPr>
  </w:style>
  <w:style w:type="paragraph" w:styleId="6">
    <w:name w:val="footer"/>
    <w:basedOn w:val="1"/>
    <w:link w:val="17"/>
    <w:autoRedefine/>
    <w:unhideWhenUsed/>
    <w:qFormat/>
    <w:uiPriority w:val="99"/>
    <w:pPr>
      <w:tabs>
        <w:tab w:val="center" w:pos="4153"/>
        <w:tab w:val="right" w:pos="8306"/>
      </w:tabs>
      <w:snapToGrid w:val="0"/>
      <w:jc w:val="left"/>
    </w:pPr>
    <w:rPr>
      <w:sz w:val="18"/>
      <w:szCs w:val="18"/>
    </w:rPr>
  </w:style>
  <w:style w:type="paragraph" w:styleId="7">
    <w:name w:val="header"/>
    <w:basedOn w:val="1"/>
    <w:link w:val="16"/>
    <w:autoRedefine/>
    <w:unhideWhenUsed/>
    <w:qFormat/>
    <w:uiPriority w:val="99"/>
    <w:pPr>
      <w:tabs>
        <w:tab w:val="center" w:pos="4153"/>
        <w:tab w:val="right" w:pos="8306"/>
      </w:tabs>
      <w:snapToGrid w:val="0"/>
      <w:jc w:val="center"/>
    </w:pPr>
    <w:rPr>
      <w:sz w:val="18"/>
      <w:szCs w:val="18"/>
    </w:rPr>
  </w:style>
  <w:style w:type="paragraph" w:styleId="8">
    <w:name w:val="Body Text First Indent"/>
    <w:basedOn w:val="5"/>
    <w:link w:val="14"/>
    <w:autoRedefine/>
    <w:qFormat/>
    <w:uiPriority w:val="0"/>
    <w:pPr>
      <w:ind w:firstLine="420" w:firstLineChars="100"/>
    </w:pPr>
    <w:rPr>
      <w:rFonts w:asciiTheme="minorHAnsi" w:hAnsiTheme="minorHAnsi" w:eastAsiaTheme="minorEastAsia" w:cstheme="minorBidi"/>
    </w:rPr>
  </w:style>
  <w:style w:type="character" w:customStyle="1" w:styleId="11">
    <w:name w:val="标题 字符"/>
    <w:basedOn w:val="10"/>
    <w:link w:val="2"/>
    <w:autoRedefine/>
    <w:qFormat/>
    <w:uiPriority w:val="10"/>
    <w:rPr>
      <w:rFonts w:asciiTheme="majorHAnsi" w:hAnsiTheme="majorHAnsi" w:eastAsiaTheme="majorEastAsia" w:cstheme="majorBidi"/>
      <w:b/>
      <w:bCs/>
      <w:sz w:val="32"/>
      <w:szCs w:val="32"/>
      <w14:ligatures w14:val="none"/>
    </w:rPr>
  </w:style>
  <w:style w:type="character" w:customStyle="1" w:styleId="12">
    <w:name w:val="标题 1 字符"/>
    <w:basedOn w:val="10"/>
    <w:link w:val="3"/>
    <w:autoRedefine/>
    <w:qFormat/>
    <w:uiPriority w:val="0"/>
    <w:rPr>
      <w:rFonts w:ascii="Calibri" w:hAnsi="Calibri" w:eastAsia="宋体" w:cs="Times New Roman"/>
      <w:b/>
      <w:bCs/>
      <w:kern w:val="44"/>
      <w:sz w:val="44"/>
      <w:szCs w:val="44"/>
      <w14:ligatures w14:val="none"/>
    </w:rPr>
  </w:style>
  <w:style w:type="character" w:customStyle="1" w:styleId="13">
    <w:name w:val="正文文本 字符"/>
    <w:basedOn w:val="10"/>
    <w:link w:val="5"/>
    <w:autoRedefine/>
    <w:semiHidden/>
    <w:qFormat/>
    <w:uiPriority w:val="99"/>
    <w:rPr>
      <w:rFonts w:ascii="Times New Roman" w:hAnsi="Times New Roman" w:eastAsia="宋体" w:cs="Times New Roman"/>
      <w:szCs w:val="24"/>
      <w14:ligatures w14:val="none"/>
    </w:rPr>
  </w:style>
  <w:style w:type="character" w:customStyle="1" w:styleId="14">
    <w:name w:val="正文文本首行缩进 字符"/>
    <w:basedOn w:val="13"/>
    <w:link w:val="8"/>
    <w:autoRedefine/>
    <w:qFormat/>
    <w:uiPriority w:val="0"/>
    <w:rPr>
      <w:rFonts w:ascii="Times New Roman" w:hAnsi="Times New Roman" w:eastAsia="宋体" w:cs="Times New Roman"/>
      <w:szCs w:val="24"/>
      <w14:ligatures w14:val="none"/>
    </w:rPr>
  </w:style>
  <w:style w:type="character" w:customStyle="1" w:styleId="15">
    <w:name w:val="标题 2 字符"/>
    <w:basedOn w:val="10"/>
    <w:link w:val="4"/>
    <w:autoRedefine/>
    <w:semiHidden/>
    <w:qFormat/>
    <w:uiPriority w:val="9"/>
    <w:rPr>
      <w:rFonts w:asciiTheme="majorHAnsi" w:hAnsiTheme="majorHAnsi" w:eastAsiaTheme="majorEastAsia" w:cstheme="majorBidi"/>
      <w:b/>
      <w:bCs/>
      <w:sz w:val="32"/>
      <w:szCs w:val="32"/>
      <w14:ligatures w14:val="none"/>
    </w:rPr>
  </w:style>
  <w:style w:type="character" w:customStyle="1" w:styleId="16">
    <w:name w:val="页眉 字符"/>
    <w:basedOn w:val="10"/>
    <w:link w:val="7"/>
    <w:autoRedefine/>
    <w:qFormat/>
    <w:uiPriority w:val="99"/>
    <w:rPr>
      <w:rFonts w:ascii="Times New Roman" w:hAnsi="Times New Roman" w:eastAsia="宋体" w:cs="Times New Roman"/>
      <w:sz w:val="18"/>
      <w:szCs w:val="18"/>
      <w14:ligatures w14:val="none"/>
    </w:rPr>
  </w:style>
  <w:style w:type="character" w:customStyle="1" w:styleId="17">
    <w:name w:val="页脚 字符"/>
    <w:basedOn w:val="10"/>
    <w:link w:val="6"/>
    <w:autoRedefine/>
    <w:qFormat/>
    <w:uiPriority w:val="99"/>
    <w:rPr>
      <w:rFonts w:ascii="Times New Roman" w:hAnsi="Times New Roman" w:eastAsia="宋体" w:cs="Times New Roman"/>
      <w:sz w:val="18"/>
      <w:szCs w:val="18"/>
      <w14:ligatures w14:val="none"/>
    </w:rPr>
  </w:style>
  <w:style w:type="paragraph" w:styleId="18">
    <w:name w:val="List Paragraph"/>
    <w:basedOn w:val="1"/>
    <w:autoRedefine/>
    <w:qFormat/>
    <w:uiPriority w:val="34"/>
    <w:pPr>
      <w:ind w:firstLine="420" w:firstLineChars="200"/>
    </w:pPr>
  </w:style>
  <w:style w:type="character" w:customStyle="1" w:styleId="19">
    <w:name w:val="font21"/>
    <w:basedOn w:val="10"/>
    <w:autoRedefine/>
    <w:qFormat/>
    <w:uiPriority w:val="0"/>
    <w:rPr>
      <w:rFonts w:hint="eastAsia" w:ascii="宋体" w:hAnsi="宋体" w:eastAsia="宋体" w:cs="宋体"/>
      <w:color w:val="000000"/>
      <w:sz w:val="20"/>
      <w:szCs w:val="20"/>
      <w:u w:val="none"/>
    </w:rPr>
  </w:style>
  <w:style w:type="character" w:customStyle="1" w:styleId="20">
    <w:name w:val="font91"/>
    <w:basedOn w:val="10"/>
    <w:autoRedefine/>
    <w:qFormat/>
    <w:uiPriority w:val="0"/>
    <w:rPr>
      <w:rFonts w:ascii="Arial" w:hAnsi="Arial" w:cs="Arial"/>
      <w:color w:val="000000"/>
      <w:sz w:val="20"/>
      <w:szCs w:val="20"/>
      <w:u w:val="none"/>
    </w:rPr>
  </w:style>
  <w:style w:type="character" w:customStyle="1" w:styleId="21">
    <w:name w:val="font71"/>
    <w:basedOn w:val="10"/>
    <w:autoRedefine/>
    <w:qFormat/>
    <w:uiPriority w:val="0"/>
    <w:rPr>
      <w:rFonts w:ascii="Arial" w:hAnsi="Arial" w:cs="Arial"/>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26E944-C166-47C2-B855-CED19FAAD8E1}">
  <ds:schemaRefs/>
</ds:datastoreItem>
</file>

<file path=docProps/app.xml><?xml version="1.0" encoding="utf-8"?>
<Properties xmlns="http://schemas.openxmlformats.org/officeDocument/2006/extended-properties" xmlns:vt="http://schemas.openxmlformats.org/officeDocument/2006/docPropsVTypes">
  <Template>Normal</Template>
  <Pages>9</Pages>
  <Words>2814</Words>
  <Characters>16040</Characters>
  <Lines>133</Lines>
  <Paragraphs>37</Paragraphs>
  <TotalTime>0</TotalTime>
  <ScaleCrop>false</ScaleCrop>
  <LinksUpToDate>false</LinksUpToDate>
  <CharactersWithSpaces>18817</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2023-11-29T02:21:00Z</dcterms:created>
  <dc:creator>子依 肖</dc:creator>
  <cp:lastModifiedBy>Ou</cp:lastModifiedBy>
  <dcterms:modified xsi:type="dcterms:W3CDTF">2024-04-17T02:52:51Z</dcterms:modified>
  <cp:revision>128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69FDAEE160414D6A8B1F6AA76A222226_13</vt:lpwstr>
  </property>
</Properties>
</file>