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outlineLvl w:val="9"/>
        <w:rPr>
          <w:rFonts w:ascii="宋体" w:hAnsi="宋体"/>
          <w:color w:val="auto"/>
          <w:sz w:val="52"/>
          <w:szCs w:val="52"/>
          <w:highlight w:val="none"/>
        </w:rPr>
      </w:pPr>
      <w:r>
        <w:rPr>
          <w:rFonts w:hint="eastAsia" w:ascii="宋体" w:hAnsi="宋体"/>
          <w:color w:val="auto"/>
          <w:sz w:val="52"/>
          <w:szCs w:val="52"/>
          <w:highlight w:val="none"/>
        </w:rPr>
        <w:t>临空经济区</w:t>
      </w:r>
      <w:r>
        <w:rPr>
          <w:rFonts w:hint="eastAsia" w:ascii="宋体" w:hAnsi="宋体"/>
          <w:color w:val="auto"/>
          <w:sz w:val="52"/>
          <w:szCs w:val="52"/>
          <w:highlight w:val="none"/>
          <w:lang w:val="en-US" w:eastAsia="zh-CN"/>
        </w:rPr>
        <w:t>财政</w:t>
      </w:r>
      <w:r>
        <w:rPr>
          <w:rFonts w:hint="eastAsia" w:ascii="宋体" w:hAnsi="宋体"/>
          <w:color w:val="auto"/>
          <w:sz w:val="52"/>
          <w:szCs w:val="52"/>
          <w:highlight w:val="none"/>
        </w:rPr>
        <w:t>衔接资金项目</w:t>
      </w:r>
    </w:p>
    <w:p>
      <w:pPr>
        <w:spacing w:line="300" w:lineRule="auto"/>
        <w:jc w:val="center"/>
        <w:rPr>
          <w:rFonts w:ascii="黑体" w:hAnsi="黑体" w:eastAsia="黑体"/>
          <w:b/>
          <w:color w:val="auto"/>
          <w:sz w:val="72"/>
          <w:szCs w:val="72"/>
          <w:highlight w:val="none"/>
        </w:rPr>
      </w:pPr>
      <w:r>
        <w:rPr>
          <w:rFonts w:hint="eastAsia" w:ascii="黑体" w:hAnsi="黑体" w:eastAsia="黑体"/>
          <w:b/>
          <w:color w:val="auto"/>
          <w:sz w:val="72"/>
          <w:szCs w:val="72"/>
          <w:highlight w:val="none"/>
        </w:rPr>
        <w:t>绩效评价报告</w:t>
      </w:r>
    </w:p>
    <w:p>
      <w:pPr>
        <w:spacing w:line="300" w:lineRule="auto"/>
        <w:jc w:val="center"/>
        <w:rPr>
          <w:rFonts w:hint="eastAsia" w:ascii="黑体" w:hAnsi="黑体" w:eastAsia="黑体"/>
          <w:b w:val="0"/>
          <w:bCs/>
          <w:color w:val="auto"/>
          <w:sz w:val="40"/>
          <w:szCs w:val="40"/>
          <w:highlight w:val="none"/>
          <w:lang w:val="en-US" w:eastAsia="zh-CN"/>
        </w:rPr>
      </w:pPr>
      <w:r>
        <w:rPr>
          <w:rFonts w:hint="eastAsia" w:ascii="黑体" w:hAnsi="黑体" w:eastAsia="黑体"/>
          <w:b w:val="0"/>
          <w:bCs/>
          <w:color w:val="auto"/>
          <w:sz w:val="40"/>
          <w:szCs w:val="40"/>
          <w:highlight w:val="none"/>
          <w:lang w:val="en-US" w:eastAsia="zh-CN"/>
        </w:rPr>
        <w:t>(精简版）</w:t>
      </w: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ind w:firstLine="1968" w:firstLineChars="700"/>
        <w:jc w:val="both"/>
        <w:rPr>
          <w:rFonts w:hint="default" w:eastAsia="宋体"/>
          <w:b/>
          <w:color w:val="auto"/>
          <w:sz w:val="28"/>
          <w:szCs w:val="28"/>
          <w:highlight w:val="none"/>
          <w:lang w:val="en-US" w:eastAsia="zh-CN"/>
        </w:rPr>
      </w:pPr>
      <w:r>
        <w:rPr>
          <w:rFonts w:hint="eastAsia"/>
          <w:b/>
          <w:color w:val="auto"/>
          <w:sz w:val="28"/>
          <w:szCs w:val="28"/>
          <w:highlight w:val="none"/>
        </w:rPr>
        <w:t>项目名称：</w:t>
      </w:r>
      <w:r>
        <w:rPr>
          <w:rFonts w:hint="eastAsia"/>
          <w:b/>
          <w:color w:val="auto"/>
          <w:sz w:val="28"/>
          <w:szCs w:val="28"/>
          <w:highlight w:val="none"/>
          <w:lang w:val="en-US" w:eastAsia="zh-CN"/>
        </w:rPr>
        <w:t>赵寨村观云林果茶园</w:t>
      </w:r>
    </w:p>
    <w:p>
      <w:pPr>
        <w:tabs>
          <w:tab w:val="left" w:pos="615"/>
        </w:tabs>
        <w:spacing w:line="300" w:lineRule="auto"/>
        <w:ind w:firstLine="843" w:firstLineChars="300"/>
        <w:jc w:val="center"/>
        <w:outlineLvl w:val="9"/>
        <w:rPr>
          <w:b/>
          <w:color w:val="auto"/>
          <w:sz w:val="28"/>
          <w:szCs w:val="28"/>
          <w:highlight w:val="none"/>
        </w:rPr>
      </w:pPr>
      <w:r>
        <w:rPr>
          <w:rFonts w:hint="eastAsia"/>
          <w:b/>
          <w:color w:val="auto"/>
          <w:sz w:val="28"/>
          <w:szCs w:val="28"/>
          <w:highlight w:val="none"/>
          <w:lang w:val="en-US" w:eastAsia="zh-CN"/>
        </w:rPr>
        <w:t xml:space="preserve"> </w:t>
      </w:r>
      <w:r>
        <w:rPr>
          <w:rFonts w:hint="eastAsia"/>
          <w:b/>
          <w:color w:val="auto"/>
          <w:sz w:val="28"/>
          <w:szCs w:val="28"/>
          <w:highlight w:val="none"/>
        </w:rPr>
        <w:t>项目单位：鄂州市临空经济区</w:t>
      </w:r>
      <w:r>
        <w:rPr>
          <w:rFonts w:hint="eastAsia"/>
          <w:b/>
          <w:color w:val="auto"/>
          <w:sz w:val="28"/>
          <w:szCs w:val="28"/>
          <w:highlight w:val="none"/>
          <w:lang w:val="en-US" w:eastAsia="zh-CN"/>
        </w:rPr>
        <w:t>沙窝乡赵寨</w:t>
      </w:r>
      <w:r>
        <w:rPr>
          <w:rFonts w:hint="eastAsia"/>
          <w:b/>
          <w:color w:val="auto"/>
          <w:sz w:val="28"/>
          <w:szCs w:val="28"/>
          <w:highlight w:val="none"/>
        </w:rPr>
        <w:t>村</w:t>
      </w:r>
    </w:p>
    <w:p>
      <w:pPr>
        <w:tabs>
          <w:tab w:val="left" w:pos="615"/>
        </w:tabs>
        <w:spacing w:line="300" w:lineRule="auto"/>
        <w:ind w:firstLine="1968" w:firstLineChars="700"/>
        <w:jc w:val="both"/>
        <w:rPr>
          <w:rFonts w:hint="eastAsia" w:eastAsia="宋体"/>
          <w:b/>
          <w:color w:val="auto"/>
          <w:sz w:val="28"/>
          <w:szCs w:val="28"/>
          <w:highlight w:val="none"/>
          <w:lang w:val="en-US" w:eastAsia="zh-CN"/>
        </w:rPr>
      </w:pPr>
      <w:r>
        <w:rPr>
          <w:rFonts w:hint="eastAsia"/>
          <w:b/>
          <w:color w:val="auto"/>
          <w:sz w:val="28"/>
          <w:szCs w:val="28"/>
          <w:highlight w:val="none"/>
        </w:rPr>
        <w:t>主管部门：鄂州市临空经济区</w:t>
      </w:r>
      <w:r>
        <w:rPr>
          <w:rFonts w:hint="eastAsia"/>
          <w:b/>
          <w:color w:val="auto"/>
          <w:sz w:val="28"/>
          <w:szCs w:val="28"/>
          <w:highlight w:val="none"/>
          <w:lang w:val="en-US" w:eastAsia="zh-CN"/>
        </w:rPr>
        <w:t>沙窝乡</w:t>
      </w:r>
    </w:p>
    <w:p>
      <w:pPr>
        <w:tabs>
          <w:tab w:val="left" w:pos="615"/>
        </w:tabs>
        <w:spacing w:line="300" w:lineRule="auto"/>
        <w:ind w:firstLine="1968" w:firstLineChars="700"/>
        <w:jc w:val="both"/>
        <w:outlineLvl w:val="9"/>
        <w:rPr>
          <w:b/>
          <w:color w:val="auto"/>
          <w:sz w:val="28"/>
          <w:szCs w:val="28"/>
          <w:highlight w:val="none"/>
        </w:rPr>
      </w:pPr>
      <w:r>
        <w:rPr>
          <w:rFonts w:hint="eastAsia"/>
          <w:b/>
          <w:color w:val="auto"/>
          <w:sz w:val="28"/>
          <w:szCs w:val="28"/>
          <w:highlight w:val="none"/>
        </w:rPr>
        <w:t>评价机构：湖北众信会计师事务有限公司</w:t>
      </w:r>
    </w:p>
    <w:p>
      <w:pPr>
        <w:spacing w:line="300" w:lineRule="auto"/>
        <w:ind w:firstLine="1968" w:firstLineChars="700"/>
        <w:jc w:val="both"/>
        <w:outlineLvl w:val="9"/>
        <w:rPr>
          <w:b/>
          <w:color w:val="auto"/>
          <w:sz w:val="28"/>
          <w:szCs w:val="28"/>
          <w:highlight w:val="none"/>
        </w:rPr>
      </w:pPr>
      <w:r>
        <w:rPr>
          <w:rFonts w:hint="eastAsia"/>
          <w:b/>
          <w:color w:val="auto"/>
          <w:sz w:val="28"/>
          <w:szCs w:val="28"/>
          <w:highlight w:val="none"/>
        </w:rPr>
        <w:t>报告文号：湖众信绩评字[202</w:t>
      </w:r>
      <w:r>
        <w:rPr>
          <w:rFonts w:hint="eastAsia"/>
          <w:b/>
          <w:color w:val="auto"/>
          <w:sz w:val="28"/>
          <w:szCs w:val="28"/>
          <w:highlight w:val="none"/>
          <w:lang w:val="en-US" w:eastAsia="zh-CN"/>
        </w:rPr>
        <w:t>4</w:t>
      </w:r>
      <w:r>
        <w:rPr>
          <w:rFonts w:hint="eastAsia"/>
          <w:b/>
          <w:color w:val="auto"/>
          <w:sz w:val="28"/>
          <w:szCs w:val="28"/>
          <w:highlight w:val="none"/>
        </w:rPr>
        <w:t>]00</w:t>
      </w:r>
      <w:r>
        <w:rPr>
          <w:rFonts w:hint="eastAsia"/>
          <w:b/>
          <w:color w:val="auto"/>
          <w:sz w:val="28"/>
          <w:szCs w:val="28"/>
          <w:highlight w:val="none"/>
          <w:lang w:val="en-US" w:eastAsia="zh-CN"/>
        </w:rPr>
        <w:t>6</w:t>
      </w:r>
      <w:r>
        <w:rPr>
          <w:rFonts w:hint="eastAsia"/>
          <w:b/>
          <w:color w:val="auto"/>
          <w:sz w:val="28"/>
          <w:szCs w:val="28"/>
          <w:highlight w:val="none"/>
        </w:rPr>
        <w:t>号</w:t>
      </w:r>
    </w:p>
    <w:p>
      <w:pPr>
        <w:widowControl/>
        <w:spacing w:line="300" w:lineRule="auto"/>
        <w:ind w:firstLine="551" w:firstLineChars="196"/>
        <w:jc w:val="left"/>
        <w:rPr>
          <w:rFonts w:ascii="宋体" w:hAnsi="宋体" w:cs="宋体"/>
          <w:b/>
          <w:bCs/>
          <w:color w:val="auto"/>
          <w:kern w:val="0"/>
          <w:sz w:val="28"/>
          <w:szCs w:val="28"/>
          <w:highlight w:val="none"/>
        </w:rPr>
      </w:pPr>
    </w:p>
    <w:p>
      <w:pPr>
        <w:tabs>
          <w:tab w:val="left" w:pos="615"/>
        </w:tabs>
        <w:spacing w:line="300" w:lineRule="auto"/>
        <w:ind w:firstLine="703" w:firstLineChars="250"/>
        <w:rPr>
          <w:b/>
          <w:color w:val="auto"/>
          <w:sz w:val="28"/>
          <w:szCs w:val="28"/>
          <w:highlight w:val="none"/>
        </w:rPr>
      </w:pPr>
    </w:p>
    <w:p>
      <w:pPr>
        <w:tabs>
          <w:tab w:val="left" w:pos="615"/>
        </w:tabs>
        <w:spacing w:line="300" w:lineRule="auto"/>
        <w:rPr>
          <w:color w:val="auto"/>
          <w:sz w:val="24"/>
          <w:highlight w:val="none"/>
        </w:rPr>
      </w:pPr>
    </w:p>
    <w:p>
      <w:pPr>
        <w:spacing w:before="156" w:beforeLines="50" w:line="300" w:lineRule="auto"/>
        <w:ind w:firstLine="4779" w:firstLineChars="1700"/>
        <w:jc w:val="both"/>
        <w:rPr>
          <w:b/>
          <w:bCs/>
          <w:color w:val="auto"/>
          <w:sz w:val="28"/>
          <w:szCs w:val="28"/>
          <w:highlight w:val="none"/>
        </w:rPr>
      </w:pPr>
      <w:r>
        <w:rPr>
          <w:b/>
          <w:bCs/>
          <w:color w:val="auto"/>
          <w:sz w:val="28"/>
          <w:szCs w:val="28"/>
          <w:highlight w:val="none"/>
        </w:rPr>
        <w:t>20</w:t>
      </w:r>
      <w:r>
        <w:rPr>
          <w:rFonts w:hint="eastAsia"/>
          <w:b/>
          <w:bCs/>
          <w:color w:val="auto"/>
          <w:sz w:val="28"/>
          <w:szCs w:val="28"/>
          <w:highlight w:val="none"/>
        </w:rPr>
        <w:t>2</w:t>
      </w:r>
      <w:r>
        <w:rPr>
          <w:rFonts w:hint="eastAsia"/>
          <w:b/>
          <w:bCs/>
          <w:color w:val="auto"/>
          <w:sz w:val="28"/>
          <w:szCs w:val="28"/>
          <w:highlight w:val="none"/>
          <w:lang w:val="en-US" w:eastAsia="zh-CN"/>
        </w:rPr>
        <w:t>4</w:t>
      </w:r>
      <w:r>
        <w:rPr>
          <w:rFonts w:hint="eastAsia"/>
          <w:b/>
          <w:bCs/>
          <w:color w:val="auto"/>
          <w:sz w:val="28"/>
          <w:szCs w:val="28"/>
          <w:highlight w:val="none"/>
        </w:rPr>
        <w:t>年</w:t>
      </w:r>
      <w:r>
        <w:rPr>
          <w:rFonts w:hint="eastAsia"/>
          <w:b/>
          <w:bCs/>
          <w:color w:val="auto"/>
          <w:sz w:val="28"/>
          <w:szCs w:val="28"/>
          <w:highlight w:val="none"/>
          <w:lang w:val="en-US" w:eastAsia="zh-CN"/>
        </w:rPr>
        <w:t>3</w:t>
      </w:r>
      <w:r>
        <w:rPr>
          <w:b/>
          <w:bCs/>
          <w:color w:val="auto"/>
          <w:sz w:val="28"/>
          <w:szCs w:val="28"/>
          <w:highlight w:val="none"/>
        </w:rPr>
        <w:t>月</w:t>
      </w:r>
    </w:p>
    <w:p/>
    <w:p>
      <w:pPr>
        <w:pStyle w:val="2"/>
      </w:pPr>
    </w:p>
    <w:p/>
    <w:p>
      <w:pPr>
        <w:pStyle w:val="2"/>
      </w:pPr>
    </w:p>
    <w:p/>
    <w:p>
      <w:pPr>
        <w:pStyle w:val="3"/>
        <w:tabs>
          <w:tab w:val="center" w:pos="4742"/>
        </w:tabs>
        <w:spacing w:before="312" w:after="312" w:line="300" w:lineRule="auto"/>
        <w:ind w:firstLine="3534" w:firstLineChars="800"/>
        <w:jc w:val="left"/>
        <w:rPr>
          <w:rFonts w:hint="eastAsia"/>
          <w:lang w:eastAsia="zh-CN"/>
        </w:rPr>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titlePg/>
          <w:docGrid w:type="lines" w:linePitch="312" w:charSpace="0"/>
        </w:sectPr>
      </w:pPr>
    </w:p>
    <w:p>
      <w:pPr>
        <w:pStyle w:val="3"/>
        <w:tabs>
          <w:tab w:val="center" w:pos="4742"/>
        </w:tabs>
        <w:spacing w:before="312" w:after="312" w:line="300" w:lineRule="auto"/>
        <w:ind w:firstLine="3520" w:firstLineChars="800"/>
        <w:jc w:val="left"/>
        <w:rPr>
          <w:rFonts w:ascii="Times New Roman" w:hAnsi="Times New Roman" w:eastAsia="黑体"/>
          <w:b w:val="0"/>
          <w:bCs w:val="0"/>
          <w:color w:val="auto"/>
          <w:highlight w:val="none"/>
        </w:rPr>
      </w:pPr>
      <w:bookmarkStart w:id="0" w:name="_Toc5131"/>
      <w:r>
        <w:rPr>
          <w:rFonts w:hint="eastAsia" w:ascii="Times New Roman" w:hAnsi="Times New Roman" w:eastAsia="黑体"/>
          <w:b w:val="0"/>
          <w:bCs w:val="0"/>
          <w:color w:val="auto"/>
          <w:highlight w:val="none"/>
        </w:rPr>
        <w:t>说</w:t>
      </w:r>
      <w:r>
        <w:rPr>
          <w:rFonts w:hint="eastAsia" w:ascii="Times New Roman" w:hAnsi="Times New Roman" w:eastAsia="黑体"/>
          <w:b w:val="0"/>
          <w:bCs w:val="0"/>
          <w:color w:val="auto"/>
          <w:highlight w:val="none"/>
          <w:lang w:val="en-US" w:eastAsia="zh-CN"/>
        </w:rPr>
        <w:t xml:space="preserve"> </w:t>
      </w:r>
      <w:r>
        <w:rPr>
          <w:rFonts w:hint="eastAsia" w:ascii="Times New Roman" w:hAnsi="Times New Roman" w:eastAsia="黑体"/>
          <w:b w:val="0"/>
          <w:bCs w:val="0"/>
          <w:color w:val="auto"/>
          <w:highlight w:val="none"/>
        </w:rPr>
        <w:t>明</w:t>
      </w:r>
      <w:bookmarkEnd w:id="0"/>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受鄂州市临空经济区财政金融局（以下简称财金局）委托，湖北众信会计师事务有限公司对</w:t>
      </w:r>
      <w:r>
        <w:rPr>
          <w:rFonts w:hint="eastAsia" w:ascii="仿宋_GB2312" w:hAnsi="宋体" w:eastAsia="仿宋_GB2312"/>
          <w:color w:val="auto"/>
          <w:sz w:val="28"/>
          <w:szCs w:val="28"/>
          <w:highlight w:val="none"/>
          <w:lang w:eastAsia="zh-CN"/>
        </w:rPr>
        <w:t>赵寨村观云林果茶园项目</w:t>
      </w:r>
      <w:r>
        <w:rPr>
          <w:rFonts w:hint="eastAsia" w:ascii="仿宋_GB2312" w:hAnsi="宋体" w:eastAsia="仿宋_GB2312"/>
          <w:color w:val="auto"/>
          <w:sz w:val="28"/>
          <w:szCs w:val="28"/>
          <w:highlight w:val="none"/>
        </w:rPr>
        <w:t>财政衔接资金使用情况进行了绩效评价。通过此次评价，全面了解</w:t>
      </w:r>
      <w:r>
        <w:rPr>
          <w:rFonts w:hint="eastAsia" w:ascii="仿宋_GB2312" w:hAnsi="宋体" w:eastAsia="仿宋_GB2312"/>
          <w:color w:val="auto"/>
          <w:sz w:val="28"/>
          <w:szCs w:val="28"/>
          <w:highlight w:val="none"/>
          <w:lang w:eastAsia="zh-CN"/>
        </w:rPr>
        <w:t>赵寨村观云林果茶园项目</w:t>
      </w:r>
      <w:r>
        <w:rPr>
          <w:rFonts w:hint="eastAsia" w:ascii="仿宋_GB2312" w:hAnsi="宋体" w:eastAsia="仿宋_GB2312"/>
          <w:color w:val="auto"/>
          <w:sz w:val="28"/>
          <w:szCs w:val="28"/>
          <w:highlight w:val="none"/>
        </w:rPr>
        <w:t>财政衔接资金拨付、使用情况以及取得的综合绩效，同时通过对项目资金绩效评价，总结经验、发现问题、提出改进建议，保证</w:t>
      </w:r>
      <w:r>
        <w:rPr>
          <w:rFonts w:hint="eastAsia" w:ascii="仿宋_GB2312" w:hAnsi="宋体" w:eastAsia="仿宋_GB2312"/>
          <w:color w:val="auto"/>
          <w:sz w:val="28"/>
          <w:szCs w:val="28"/>
          <w:highlight w:val="none"/>
          <w:lang w:eastAsia="zh-CN"/>
        </w:rPr>
        <w:t>赵寨村观云林果茶园项目</w:t>
      </w:r>
      <w:r>
        <w:rPr>
          <w:rFonts w:hint="eastAsia" w:ascii="仿宋_GB2312" w:hAnsi="宋体" w:eastAsia="仿宋_GB2312"/>
          <w:color w:val="auto"/>
          <w:sz w:val="28"/>
          <w:szCs w:val="28"/>
          <w:highlight w:val="none"/>
        </w:rPr>
        <w:t>财政衔接资金使用管理的规范性、安全性和有效性。</w:t>
      </w:r>
    </w:p>
    <w:p>
      <w:pPr>
        <w:spacing w:line="300" w:lineRule="auto"/>
        <w:ind w:firstLine="560" w:firstLineChars="200"/>
        <w:rPr>
          <w:rFonts w:ascii="宋体" w:hAnsi="宋体" w:cs="宋体"/>
          <w:b/>
          <w:bCs/>
          <w:color w:val="auto"/>
          <w:kern w:val="0"/>
          <w:sz w:val="28"/>
          <w:szCs w:val="28"/>
          <w:highlight w:val="none"/>
        </w:rPr>
      </w:pPr>
      <w:r>
        <w:rPr>
          <w:rFonts w:hint="eastAsia" w:ascii="仿宋_GB2312" w:hAnsi="宋体" w:eastAsia="仿宋_GB2312"/>
          <w:color w:val="auto"/>
          <w:sz w:val="28"/>
          <w:szCs w:val="28"/>
          <w:highlight w:val="none"/>
        </w:rPr>
        <w:t>本次评价依照财政部《项目支出绩效评价管理办法》（财预[2020]10号文件）、湖北省财政厅关于印发《全面实施预算绩效管理系列制度的通知》（鄂财绩发[2020]3号文件）、临空经济区党工委农村工作领导小组办公室关于印发《2023年度巩固拓展脱贫攻坚成果同乡村振兴有效衔接项目库的批复的通知》(临空农组办发[2023]1号)、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湖北省衔接资金项目管理“一本通”》</w:t>
      </w:r>
      <w:r>
        <w:rPr>
          <w:rFonts w:hint="eastAsia" w:ascii="仿宋_GB2312" w:hAnsi="宋体" w:eastAsia="仿宋_GB2312"/>
          <w:color w:val="auto"/>
          <w:sz w:val="28"/>
          <w:szCs w:val="28"/>
          <w:highlight w:val="none"/>
        </w:rPr>
        <w:t>等文件和政策的规定和要求，按时完成了“</w:t>
      </w:r>
      <w:r>
        <w:rPr>
          <w:rFonts w:hint="eastAsia" w:ascii="仿宋_GB2312" w:hAnsi="宋体" w:eastAsia="仿宋_GB2312"/>
          <w:color w:val="auto"/>
          <w:sz w:val="28"/>
          <w:szCs w:val="28"/>
          <w:highlight w:val="none"/>
          <w:lang w:eastAsia="zh-CN"/>
        </w:rPr>
        <w:t>赵寨村观云林果茶园项目</w:t>
      </w:r>
      <w:r>
        <w:rPr>
          <w:rFonts w:hint="eastAsia" w:ascii="仿宋_GB2312" w:hAnsi="宋体" w:eastAsia="仿宋_GB2312"/>
          <w:color w:val="auto"/>
          <w:sz w:val="28"/>
          <w:szCs w:val="28"/>
          <w:highlight w:val="none"/>
        </w:rPr>
        <w:t>”绩效评价工作，并形成本绩效评价报告。</w:t>
      </w:r>
    </w:p>
    <w:p>
      <w:pPr>
        <w:spacing w:line="300" w:lineRule="auto"/>
        <w:ind w:firstLine="3795" w:firstLineChars="1050"/>
        <w:rPr>
          <w:rFonts w:hint="eastAsia" w:ascii="ˎ̥" w:hAnsi="ˎ̥"/>
          <w:b/>
          <w:color w:val="auto"/>
          <w:sz w:val="36"/>
          <w:szCs w:val="36"/>
          <w:highlight w:val="none"/>
        </w:rPr>
      </w:pPr>
    </w:p>
    <w:p>
      <w:pPr>
        <w:pStyle w:val="3"/>
        <w:bidi w:val="0"/>
        <w:jc w:val="center"/>
        <w:rPr>
          <w:rFonts w:ascii="ˎ̥" w:hAnsi="ˎ̥"/>
          <w:b/>
          <w:color w:val="auto"/>
          <w:szCs w:val="36"/>
          <w:highlight w:val="none"/>
        </w:rPr>
      </w:pPr>
      <w:bookmarkStart w:id="1" w:name="_Toc9080"/>
      <w:r>
        <w:rPr>
          <w:rFonts w:hint="eastAsia"/>
        </w:rPr>
        <w:t>报告摘要</w:t>
      </w:r>
      <w:bookmarkEnd w:id="1"/>
    </w:p>
    <w:p>
      <w:pPr>
        <w:widowControl/>
        <w:spacing w:line="300" w:lineRule="auto"/>
        <w:ind w:firstLine="551" w:firstLineChars="196"/>
        <w:jc w:val="left"/>
        <w:rPr>
          <w:rFonts w:ascii="宋体" w:hAnsi="宋体" w:cs="宋体"/>
          <w:b/>
          <w:bCs/>
          <w:color w:val="auto"/>
          <w:kern w:val="0"/>
          <w:sz w:val="28"/>
          <w:szCs w:val="28"/>
          <w:highlight w:val="none"/>
        </w:rPr>
      </w:pPr>
    </w:p>
    <w:p>
      <w:pPr>
        <w:widowControl/>
        <w:spacing w:line="300" w:lineRule="auto"/>
        <w:ind w:firstLine="551" w:firstLineChars="196"/>
        <w:jc w:val="left"/>
        <w:outlineLvl w:val="9"/>
        <w:rPr>
          <w:rFonts w:hint="eastAsia" w:ascii="黑体" w:hAnsi="黑体" w:eastAsia="黑体" w:cs="黑体"/>
          <w:b/>
          <w:bCs/>
          <w:color w:val="auto"/>
          <w:kern w:val="0"/>
          <w:sz w:val="28"/>
          <w:szCs w:val="28"/>
          <w:highlight w:val="none"/>
        </w:rPr>
      </w:pPr>
      <w:r>
        <w:rPr>
          <w:rFonts w:hint="eastAsia" w:ascii="宋体" w:hAnsi="宋体" w:cs="宋体"/>
          <w:b/>
          <w:bCs/>
          <w:color w:val="auto"/>
          <w:kern w:val="0"/>
          <w:sz w:val="28"/>
          <w:szCs w:val="28"/>
          <w:highlight w:val="none"/>
        </w:rPr>
        <w:t>一、项目基本情况</w:t>
      </w:r>
    </w:p>
    <w:p>
      <w:pPr>
        <w:widowControl/>
        <w:spacing w:line="300" w:lineRule="auto"/>
        <w:ind w:firstLine="551" w:firstLineChars="196"/>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（一）项目立项及批复情况</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临空经济开发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年度乡村振兴项目。</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为深入贯彻落实党的二十大精神及乡村振兴战略，按照“产业兴旺、生态宜居”总要求，根据上级统一要求部署，结合我村实际情况和农村生产发展需求，2</w:t>
      </w:r>
      <w:r>
        <w:rPr>
          <w:rFonts w:ascii="仿宋_GB2312" w:hAnsi="宋体" w:eastAsia="仿宋_GB2312"/>
          <w:color w:val="auto"/>
          <w:sz w:val="28"/>
          <w:szCs w:val="28"/>
          <w:highlight w:val="none"/>
        </w:rPr>
        <w:t>023</w:t>
      </w:r>
      <w:r>
        <w:rPr>
          <w:rFonts w:hint="eastAsia" w:ascii="仿宋_GB2312" w:hAnsi="宋体" w:eastAsia="仿宋_GB2312"/>
          <w:color w:val="auto"/>
          <w:sz w:val="28"/>
          <w:szCs w:val="28"/>
          <w:highlight w:val="none"/>
        </w:rPr>
        <w:t>年</w:t>
      </w:r>
      <w:r>
        <w:rPr>
          <w:rFonts w:hint="eastAsia" w:ascii="仿宋_GB2312" w:hAnsi="宋体" w:eastAsia="仿宋_GB2312"/>
          <w:color w:val="auto"/>
          <w:sz w:val="28"/>
          <w:szCs w:val="28"/>
          <w:highlight w:val="none"/>
          <w:lang w:val="en-US" w:eastAsia="zh-CN"/>
        </w:rPr>
        <w:t>赵寨</w:t>
      </w:r>
      <w:r>
        <w:rPr>
          <w:rFonts w:hint="eastAsia" w:ascii="仿宋_GB2312" w:hAnsi="宋体" w:eastAsia="仿宋_GB2312"/>
          <w:color w:val="auto"/>
          <w:sz w:val="28"/>
          <w:szCs w:val="28"/>
          <w:highlight w:val="none"/>
        </w:rPr>
        <w:t>村拟申报巩固拓展脱贫攻坚成果同乡村振兴项目，平整土地200亩，一部分起漕10月份种茶苗，滴灌，制茶车间，储藏室;一部分规划种植果蔬、花卉、药材等，让村民能够就近务工，解决人员生活经济来源，美化乡村形成一处景点3年后收益50万，5年后收益100万，为更多的村民提供就业带动周边村民务工、助力乡村振兴，提升群众生活幸福感!</w:t>
      </w:r>
      <w:r>
        <w:rPr>
          <w:rFonts w:hint="eastAsia" w:ascii="仿宋_GB2312" w:hAnsi="宋体" w:eastAsia="仿宋_GB2312"/>
          <w:color w:val="auto"/>
          <w:sz w:val="28"/>
          <w:szCs w:val="28"/>
          <w:highlight w:val="none"/>
          <w:lang w:val="en-US" w:eastAsia="zh-CN"/>
        </w:rPr>
        <w:t>赵寨</w:t>
      </w:r>
      <w:r>
        <w:rPr>
          <w:rFonts w:hint="eastAsia" w:ascii="仿宋_GB2312" w:hAnsi="宋体" w:eastAsia="仿宋_GB2312"/>
          <w:color w:val="auto"/>
          <w:sz w:val="28"/>
          <w:szCs w:val="28"/>
          <w:highlight w:val="none"/>
        </w:rPr>
        <w:t>村向镇申报了202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年度乡村振兴项目——</w:t>
      </w:r>
      <w:r>
        <w:rPr>
          <w:rFonts w:hint="eastAsia" w:ascii="仿宋_GB2312" w:hAnsi="宋体" w:eastAsia="仿宋_GB2312"/>
          <w:color w:val="auto"/>
          <w:sz w:val="28"/>
          <w:szCs w:val="28"/>
          <w:highlight w:val="none"/>
          <w:lang w:val="en-US" w:eastAsia="zh-CN"/>
        </w:rPr>
        <w:t>赵寨村观云林果茶园</w:t>
      </w:r>
      <w:r>
        <w:rPr>
          <w:rFonts w:hint="eastAsia" w:ascii="仿宋_GB2312" w:hAnsi="宋体" w:eastAsia="仿宋_GB2312"/>
          <w:color w:val="auto"/>
          <w:sz w:val="28"/>
          <w:szCs w:val="28"/>
          <w:highlight w:val="none"/>
        </w:rPr>
        <w:t>。</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区乡村振兴局向各镇下发了《关于202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年度申报实施乡村振兴项目库的批复》，批复了</w:t>
      </w:r>
      <w:r>
        <w:rPr>
          <w:rFonts w:hint="eastAsia" w:ascii="仿宋_GB2312" w:hAnsi="宋体" w:eastAsia="仿宋_GB2312"/>
          <w:color w:val="auto"/>
          <w:sz w:val="28"/>
          <w:szCs w:val="28"/>
          <w:highlight w:val="none"/>
          <w:lang w:val="en-US" w:eastAsia="zh-CN"/>
        </w:rPr>
        <w:t>赵寨村观云林果茶园项目</w:t>
      </w:r>
      <w:r>
        <w:rPr>
          <w:rFonts w:hint="eastAsia" w:ascii="仿宋_GB2312" w:hAnsi="宋体" w:eastAsia="仿宋_GB2312"/>
          <w:color w:val="auto"/>
          <w:sz w:val="28"/>
          <w:szCs w:val="28"/>
          <w:highlight w:val="none"/>
        </w:rPr>
        <w:t>，整合资金安排</w:t>
      </w:r>
      <w:r>
        <w:rPr>
          <w:rFonts w:hint="eastAsia" w:ascii="仿宋_GB2312" w:hAnsi="宋体" w:eastAsia="仿宋_GB2312"/>
          <w:color w:val="auto"/>
          <w:sz w:val="28"/>
          <w:szCs w:val="28"/>
          <w:highlight w:val="none"/>
          <w:lang w:val="en-US" w:eastAsia="zh-CN"/>
        </w:rPr>
        <w:t>300</w:t>
      </w:r>
      <w:r>
        <w:rPr>
          <w:rFonts w:hint="eastAsia" w:ascii="仿宋_GB2312" w:hAnsi="宋体" w:eastAsia="仿宋_GB2312"/>
          <w:color w:val="auto"/>
          <w:sz w:val="28"/>
          <w:szCs w:val="28"/>
          <w:highlight w:val="none"/>
        </w:rPr>
        <w:t>万元，</w:t>
      </w:r>
      <w:r>
        <w:rPr>
          <w:rFonts w:hint="eastAsia" w:ascii="仿宋_GB2312" w:hAnsi="宋体" w:eastAsia="仿宋_GB2312"/>
          <w:color w:val="auto"/>
          <w:sz w:val="28"/>
          <w:szCs w:val="28"/>
          <w:highlight w:val="none"/>
          <w:lang w:val="en-US" w:eastAsia="zh-CN"/>
        </w:rPr>
        <w:t>其中：财政衔接资金250万元，其他资金50万元。</w:t>
      </w:r>
    </w:p>
    <w:p>
      <w:pPr>
        <w:widowControl/>
        <w:spacing w:line="300" w:lineRule="auto"/>
        <w:ind w:firstLine="540" w:firstLineChars="192"/>
        <w:jc w:val="left"/>
        <w:outlineLvl w:val="9"/>
        <w:rPr>
          <w:rFonts w:ascii="ˎ̥" w:hAnsi="ˎ̥"/>
          <w:b/>
          <w:color w:val="auto"/>
          <w:sz w:val="28"/>
          <w:szCs w:val="28"/>
          <w:highlight w:val="none"/>
        </w:rPr>
      </w:pPr>
      <w:r>
        <w:rPr>
          <w:rFonts w:hint="eastAsia" w:ascii="宋体" w:hAnsi="宋体" w:cs="宋体"/>
          <w:b/>
          <w:bCs/>
          <w:color w:val="auto"/>
          <w:kern w:val="0"/>
          <w:sz w:val="28"/>
          <w:szCs w:val="28"/>
          <w:highlight w:val="none"/>
        </w:rPr>
        <w:t>（二）</w:t>
      </w:r>
      <w:r>
        <w:rPr>
          <w:rFonts w:hint="eastAsia" w:ascii="ˎ̥" w:hAnsi="ˎ̥"/>
          <w:b/>
          <w:color w:val="auto"/>
          <w:sz w:val="28"/>
          <w:szCs w:val="28"/>
          <w:highlight w:val="none"/>
        </w:rPr>
        <w:t>项目实施单位情况</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沙窝乡赵寨村民委员会（以下简称赵寨村），法定代表人：赵中友。统一社会信用代码：54420704ME1808715P。</w:t>
      </w:r>
    </w:p>
    <w:p>
      <w:pPr>
        <w:spacing w:line="300" w:lineRule="auto"/>
        <w:ind w:firstLine="560" w:firstLineChars="200"/>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赵寨村位于鄂州市东南部，占地总面积7800亩，全村共14个小组，25个自然湾，总人口530户1708人，党员总人数66人。本村建档立卡脱贫户67户，脱贫人口153人；监测户2户3人。</w:t>
      </w:r>
    </w:p>
    <w:p>
      <w:pPr>
        <w:widowControl/>
        <w:spacing w:line="300" w:lineRule="auto"/>
        <w:ind w:firstLine="562" w:firstLineChars="200"/>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（三）项目基本情况</w:t>
      </w:r>
    </w:p>
    <w:p>
      <w:pPr>
        <w:widowControl/>
        <w:spacing w:line="300" w:lineRule="auto"/>
        <w:ind w:firstLine="537" w:firstLineChars="192"/>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通过</w:t>
      </w:r>
      <w:r>
        <w:rPr>
          <w:rFonts w:hint="eastAsia" w:ascii="仿宋_GB2312" w:hAnsi="宋体" w:eastAsia="仿宋_GB2312"/>
          <w:color w:val="auto"/>
          <w:sz w:val="28"/>
          <w:szCs w:val="28"/>
          <w:highlight w:val="none"/>
          <w:lang w:val="en-US" w:eastAsia="zh-CN"/>
        </w:rPr>
        <w:t>茶园</w:t>
      </w:r>
      <w:r>
        <w:rPr>
          <w:rFonts w:hint="eastAsia" w:ascii="仿宋_GB2312" w:hAnsi="宋体" w:eastAsia="仿宋_GB2312"/>
          <w:color w:val="auto"/>
          <w:sz w:val="28"/>
          <w:szCs w:val="28"/>
          <w:highlight w:val="none"/>
        </w:rPr>
        <w:t>产业项目带动就业的模式，扩大财政衔接资金项目覆盖收益范围，确保脱贫户、一般户通过产业扶贫项目增收巩固脱贫成效。明确资产收益分配，建立利益联结和带贫减贫长效机制，重点向老弱病残重度残疾、脱贫人口倾斜，主要用于设置脱贫户、一般农户就业及脱贫户临时用工、公益岗位开发，基地种植</w:t>
      </w:r>
      <w:r>
        <w:rPr>
          <w:rFonts w:hint="eastAsia" w:ascii="仿宋_GB2312" w:hAnsi="宋体" w:eastAsia="仿宋_GB2312"/>
          <w:color w:val="auto"/>
          <w:sz w:val="28"/>
          <w:szCs w:val="28"/>
          <w:highlight w:val="none"/>
          <w:lang w:val="en-US" w:eastAsia="zh-CN"/>
        </w:rPr>
        <w:t>茶叶，</w:t>
      </w:r>
      <w:r>
        <w:rPr>
          <w:rFonts w:hint="eastAsia" w:ascii="仿宋_GB2312" w:hAnsi="宋体" w:eastAsia="仿宋_GB2312"/>
          <w:color w:val="auto"/>
          <w:sz w:val="28"/>
          <w:szCs w:val="28"/>
          <w:highlight w:val="none"/>
        </w:rPr>
        <w:t>种子的采购，化肥的采购，开展小型公益事业、奖金补助等。</w:t>
      </w:r>
    </w:p>
    <w:p>
      <w:pPr>
        <w:widowControl/>
        <w:spacing w:line="300" w:lineRule="auto"/>
        <w:ind w:firstLine="537" w:firstLineChars="192"/>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赵寨村观云林果</w:t>
      </w:r>
      <w:r>
        <w:rPr>
          <w:rFonts w:hint="eastAsia" w:ascii="仿宋_GB2312" w:hAnsi="宋体" w:eastAsia="仿宋_GB2312"/>
          <w:color w:val="auto"/>
          <w:sz w:val="28"/>
          <w:szCs w:val="28"/>
          <w:highlight w:val="none"/>
        </w:rPr>
        <w:t>茶园平整土地200亩，一部分起漕10月份种茶苗，滴灌，制茶车间，储藏室</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一部分规划种植果蔬、花卉、药材等</w:t>
      </w:r>
      <w:r>
        <w:rPr>
          <w:rFonts w:hint="eastAsia" w:ascii="仿宋_GB2312" w:hAnsi="宋体" w:eastAsia="仿宋_GB2312"/>
          <w:color w:val="auto"/>
          <w:sz w:val="28"/>
          <w:szCs w:val="28"/>
          <w:highlight w:val="none"/>
          <w:lang w:val="en-US" w:eastAsia="zh-CN"/>
        </w:rPr>
        <w:t>以种植茶园茶苗及制茶车间等建设。</w:t>
      </w:r>
      <w:r>
        <w:rPr>
          <w:rFonts w:hint="eastAsia" w:ascii="仿宋_GB2312" w:hAnsi="宋体" w:eastAsia="仿宋_GB2312"/>
          <w:color w:val="auto"/>
          <w:sz w:val="28"/>
          <w:szCs w:val="28"/>
          <w:highlight w:val="none"/>
        </w:rPr>
        <w:t>由于产业项目匮乏，导致村集体经济薄弱，为增加集体经济收入，巩固拓展脱贫攻坚成果，加快乡村振兴建设步伐，经村两委、驻村工作队,党员村民代表大会讨论决定在本村2组到6组土地进行平整</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新建200亩的茶园</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带动</w:t>
      </w:r>
      <w:r>
        <w:rPr>
          <w:rFonts w:hint="eastAsia" w:ascii="仿宋_GB2312" w:hAnsi="宋体" w:eastAsia="仿宋_GB2312"/>
          <w:color w:val="auto"/>
          <w:sz w:val="28"/>
          <w:szCs w:val="28"/>
          <w:highlight w:val="none"/>
          <w:lang w:val="en-US" w:eastAsia="zh-CN"/>
        </w:rPr>
        <w:t>赵寨</w:t>
      </w:r>
      <w:r>
        <w:rPr>
          <w:rFonts w:hint="eastAsia" w:ascii="仿宋_GB2312" w:hAnsi="宋体" w:eastAsia="仿宋_GB2312"/>
          <w:color w:val="auto"/>
          <w:sz w:val="28"/>
          <w:szCs w:val="28"/>
          <w:highlight w:val="none"/>
        </w:rPr>
        <w:t>村脱贫户、一般农户就近就业。</w:t>
      </w:r>
    </w:p>
    <w:p>
      <w:pPr>
        <w:widowControl/>
        <w:spacing w:line="300" w:lineRule="auto"/>
        <w:ind w:firstLine="562" w:firstLineChars="200"/>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（四）项目绩效目标</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赵寨村观云林果茶园项目</w:t>
      </w:r>
      <w:r>
        <w:rPr>
          <w:rFonts w:hint="eastAsia" w:ascii="仿宋_GB2312" w:hAnsi="宋体" w:eastAsia="仿宋_GB2312"/>
          <w:color w:val="auto"/>
          <w:sz w:val="28"/>
          <w:szCs w:val="28"/>
          <w:highlight w:val="none"/>
        </w:rPr>
        <w:t>，拟投资</w:t>
      </w:r>
      <w:r>
        <w:rPr>
          <w:rFonts w:hint="eastAsia" w:ascii="仿宋_GB2312" w:hAnsi="宋体" w:eastAsia="仿宋_GB2312"/>
          <w:color w:val="auto"/>
          <w:sz w:val="28"/>
          <w:szCs w:val="28"/>
          <w:highlight w:val="none"/>
          <w:lang w:val="en-US" w:eastAsia="zh-CN"/>
        </w:rPr>
        <w:t>300</w:t>
      </w:r>
      <w:r>
        <w:rPr>
          <w:rFonts w:hint="eastAsia" w:ascii="仿宋_GB2312" w:hAnsi="宋体" w:eastAsia="仿宋_GB2312"/>
          <w:color w:val="auto"/>
          <w:sz w:val="28"/>
          <w:szCs w:val="28"/>
          <w:highlight w:val="none"/>
        </w:rPr>
        <w:t>万元，建成种植面积</w:t>
      </w:r>
      <w:r>
        <w:rPr>
          <w:rFonts w:hint="eastAsia" w:ascii="仿宋_GB2312" w:hAnsi="宋体" w:eastAsia="仿宋_GB2312"/>
          <w:color w:val="auto"/>
          <w:sz w:val="28"/>
          <w:szCs w:val="28"/>
          <w:highlight w:val="none"/>
          <w:lang w:val="en-US" w:eastAsia="zh-CN"/>
        </w:rPr>
        <w:t>200</w:t>
      </w:r>
      <w:r>
        <w:rPr>
          <w:rFonts w:hint="eastAsia" w:ascii="仿宋_GB2312" w:hAnsi="宋体" w:eastAsia="仿宋_GB2312"/>
          <w:color w:val="auto"/>
          <w:sz w:val="28"/>
          <w:szCs w:val="28"/>
          <w:highlight w:val="none"/>
        </w:rPr>
        <w:t>余亩。绩效目标：</w:t>
      </w:r>
    </w:p>
    <w:p>
      <w:pPr>
        <w:pStyle w:val="8"/>
        <w:spacing w:line="300" w:lineRule="auto"/>
        <w:ind w:firstLine="56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1、产出指标：</w:t>
      </w:r>
      <w:r>
        <w:rPr>
          <w:rFonts w:hint="eastAsia" w:ascii="仿宋_GB2312" w:hAnsi="宋体" w:eastAsia="仿宋_GB2312"/>
          <w:color w:val="auto"/>
          <w:sz w:val="28"/>
          <w:szCs w:val="28"/>
          <w:highlight w:val="none"/>
          <w:lang w:val="en-US" w:eastAsia="zh-CN"/>
        </w:rPr>
        <w:t>一是数量指标桃子种植面积≥5亩、橘子种植面积≥5亩；茶叶种植面积≥150亩；新增特色产业数量≥1个；新增制茶加工厂房≥1间；新增制茶加工设备≥1台（套）；</w:t>
      </w:r>
      <w:r>
        <w:rPr>
          <w:rFonts w:hint="eastAsia" w:ascii="仿宋_GB2312" w:hAnsi="宋体" w:eastAsia="仿宋_GB2312"/>
          <w:color w:val="auto"/>
          <w:sz w:val="28"/>
          <w:szCs w:val="28"/>
          <w:highlight w:val="none"/>
        </w:rPr>
        <w:t>二是质量指标</w:t>
      </w:r>
      <w:r>
        <w:rPr>
          <w:rFonts w:hint="eastAsia" w:ascii="仿宋_GB2312" w:hAnsi="宋体" w:eastAsia="仿宋_GB2312"/>
          <w:color w:val="auto"/>
          <w:sz w:val="28"/>
          <w:szCs w:val="28"/>
          <w:highlight w:val="none"/>
          <w:lang w:val="en-US" w:eastAsia="zh-CN"/>
        </w:rPr>
        <w:t>种植业特色产业成活率≥60%；农产品加工厂房、设备等质量合格率100%。</w:t>
      </w:r>
      <w:r>
        <w:rPr>
          <w:rFonts w:hint="eastAsia" w:ascii="仿宋_GB2312" w:hAnsi="宋体" w:eastAsia="仿宋_GB2312"/>
          <w:color w:val="auto"/>
          <w:sz w:val="28"/>
          <w:szCs w:val="28"/>
          <w:highlight w:val="none"/>
        </w:rPr>
        <w:t>；三是项目完成及时率达到1</w:t>
      </w:r>
      <w:r>
        <w:rPr>
          <w:rFonts w:ascii="仿宋_GB2312" w:hAnsi="宋体" w:eastAsia="仿宋_GB2312"/>
          <w:color w:val="auto"/>
          <w:sz w:val="28"/>
          <w:szCs w:val="28"/>
          <w:highlight w:val="none"/>
        </w:rPr>
        <w:t>00</w:t>
      </w:r>
      <w:r>
        <w:rPr>
          <w:rFonts w:hint="eastAsia" w:ascii="仿宋_GB2312" w:hAnsi="宋体" w:eastAsia="仿宋_GB2312"/>
          <w:color w:val="auto"/>
          <w:sz w:val="28"/>
          <w:szCs w:val="28"/>
          <w:highlight w:val="none"/>
        </w:rPr>
        <w:t>%。</w:t>
      </w:r>
    </w:p>
    <w:p>
      <w:pPr>
        <w:pStyle w:val="8"/>
        <w:spacing w:line="300" w:lineRule="auto"/>
        <w:ind w:firstLine="560"/>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2、经济指标：一是</w:t>
      </w:r>
      <w:r>
        <w:rPr>
          <w:rFonts w:hint="eastAsia" w:ascii="仿宋_GB2312" w:hAnsi="宋体" w:eastAsia="仿宋_GB2312"/>
          <w:color w:val="auto"/>
          <w:sz w:val="28"/>
          <w:szCs w:val="28"/>
          <w:highlight w:val="none"/>
          <w:lang w:val="en-US" w:eastAsia="zh-CN"/>
        </w:rPr>
        <w:t>特色产业带动增加脱贫人口收入（总收入）≥6万元；二是带动人口收入、提供村民就业岗位；三是增加了地区特色产业产值。</w:t>
      </w:r>
    </w:p>
    <w:p>
      <w:pPr>
        <w:pStyle w:val="8"/>
        <w:spacing w:line="300" w:lineRule="auto"/>
        <w:ind w:firstLine="56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3、社会效益：一是受益建档立卡脱贫人口数</w:t>
      </w:r>
      <w:r>
        <w:rPr>
          <w:rFonts w:hint="eastAsia" w:ascii="仿宋_GB2312" w:hAnsi="宋体" w:eastAsia="仿宋_GB2312"/>
          <w:color w:val="auto"/>
          <w:sz w:val="28"/>
          <w:szCs w:val="28"/>
          <w:highlight w:val="none"/>
          <w:lang w:val="en-US" w:eastAsia="zh-CN"/>
        </w:rPr>
        <w:t>≥</w:t>
      </w:r>
      <w:r>
        <w:rPr>
          <w:rFonts w:hint="eastAsia" w:ascii="仿宋_GB2312" w:hAnsi="宋体" w:eastAsia="仿宋_GB2312"/>
          <w:color w:val="auto"/>
          <w:sz w:val="28"/>
          <w:szCs w:val="28"/>
          <w:highlight w:val="none"/>
        </w:rPr>
        <w:t>1</w:t>
      </w:r>
      <w:r>
        <w:rPr>
          <w:rFonts w:hint="eastAsia" w:ascii="仿宋_GB2312" w:hAnsi="宋体" w:eastAsia="仿宋_GB2312"/>
          <w:color w:val="auto"/>
          <w:sz w:val="28"/>
          <w:szCs w:val="28"/>
          <w:highlight w:val="none"/>
          <w:lang w:val="en-US" w:eastAsia="zh-CN"/>
        </w:rPr>
        <w:t>0</w:t>
      </w:r>
      <w:r>
        <w:rPr>
          <w:rFonts w:hint="eastAsia" w:ascii="仿宋_GB2312" w:hAnsi="宋体" w:eastAsia="仿宋_GB2312"/>
          <w:color w:val="auto"/>
          <w:sz w:val="28"/>
          <w:szCs w:val="28"/>
          <w:highlight w:val="none"/>
        </w:rPr>
        <w:t>人；二是特色产业带动增加脱贫人口就业人数</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0人.</w:t>
      </w:r>
    </w:p>
    <w:p>
      <w:pPr>
        <w:pStyle w:val="8"/>
        <w:spacing w:line="300" w:lineRule="auto"/>
        <w:ind w:firstLine="560"/>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4、生态效益：一是</w:t>
      </w:r>
      <w:r>
        <w:rPr>
          <w:rFonts w:hint="eastAsia" w:ascii="仿宋_GB2312" w:hAnsi="宋体" w:eastAsia="仿宋_GB2312"/>
          <w:color w:val="auto"/>
          <w:sz w:val="28"/>
          <w:szCs w:val="28"/>
          <w:highlight w:val="none"/>
          <w:lang w:val="en-US" w:eastAsia="zh-CN"/>
        </w:rPr>
        <w:t>农业科技改善耕地面积≥150亩。</w:t>
      </w:r>
    </w:p>
    <w:p>
      <w:pPr>
        <w:pStyle w:val="8"/>
        <w:spacing w:line="300" w:lineRule="auto"/>
        <w:ind w:firstLine="560"/>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5、可持续影响：长效产业持续带动增收时间</w:t>
      </w:r>
      <w:r>
        <w:rPr>
          <w:rFonts w:hint="eastAsia" w:ascii="仿宋_GB2312" w:hAnsi="宋体" w:eastAsia="仿宋_GB2312"/>
          <w:color w:val="auto"/>
          <w:sz w:val="28"/>
          <w:szCs w:val="28"/>
          <w:highlight w:val="none"/>
          <w:lang w:val="en-US" w:eastAsia="zh-CN"/>
        </w:rPr>
        <w:t>≥30年。</w:t>
      </w:r>
    </w:p>
    <w:p>
      <w:pPr>
        <w:spacing w:line="300" w:lineRule="auto"/>
        <w:ind w:firstLine="562" w:firstLineChars="200"/>
        <w:outlineLvl w:val="9"/>
        <w:rPr>
          <w:rFonts w:hint="eastAsia"/>
          <w:b/>
          <w:bCs/>
          <w:color w:val="auto"/>
          <w:sz w:val="28"/>
          <w:szCs w:val="28"/>
          <w:highlight w:val="none"/>
        </w:rPr>
      </w:pPr>
      <w:r>
        <w:rPr>
          <w:rFonts w:hint="eastAsia"/>
          <w:b/>
          <w:bCs/>
          <w:color w:val="auto"/>
          <w:sz w:val="28"/>
          <w:szCs w:val="28"/>
          <w:highlight w:val="none"/>
        </w:rPr>
        <w:t>（五）</w:t>
      </w:r>
      <w:r>
        <w:rPr>
          <w:rFonts w:hint="eastAsia" w:ascii="宋体" w:hAnsi="宋体" w:cs="宋体"/>
          <w:b/>
          <w:bCs/>
          <w:color w:val="auto"/>
          <w:kern w:val="0"/>
          <w:sz w:val="28"/>
          <w:szCs w:val="28"/>
          <w:highlight w:val="none"/>
          <w:lang w:val="en-US" w:eastAsia="zh-CN"/>
        </w:rPr>
        <w:t>项目申报及完成投资情况</w:t>
      </w:r>
    </w:p>
    <w:p>
      <w:pPr>
        <w:spacing w:line="300" w:lineRule="auto"/>
        <w:ind w:firstLine="560" w:firstLineChars="200"/>
        <w:jc w:val="both"/>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1、项目申报投资。项目申报</w:t>
      </w:r>
      <w:r>
        <w:rPr>
          <w:rFonts w:hint="eastAsia" w:ascii="仿宋_GB2312" w:eastAsia="仿宋_GB2312"/>
          <w:color w:val="auto"/>
          <w:sz w:val="28"/>
          <w:szCs w:val="28"/>
          <w:highlight w:val="none"/>
        </w:rPr>
        <w:t>投资</w:t>
      </w:r>
      <w:r>
        <w:rPr>
          <w:rFonts w:hint="eastAsia" w:ascii="仿宋_GB2312" w:eastAsia="仿宋_GB2312"/>
          <w:color w:val="auto"/>
          <w:sz w:val="28"/>
          <w:szCs w:val="28"/>
          <w:highlight w:val="none"/>
          <w:lang w:val="en-US" w:eastAsia="zh-CN"/>
        </w:rPr>
        <w:t>3,000,000.00元，其中：财政衔接资金2,500,000.00元，其他资金500,000元。</w:t>
      </w:r>
    </w:p>
    <w:p>
      <w:pPr>
        <w:spacing w:line="300" w:lineRule="auto"/>
        <w:ind w:firstLine="560" w:firstLineChars="200"/>
        <w:jc w:val="both"/>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2、项目完成投资。经审查：截至2024年3月31日，项目完成总投资2,488,425.29元，其中：项目（一期）竣工总投资1,295,799.88元（工程审定投资1,277,799.88元，监理费10,000.00元，审计费8,000.00元），项目（二期）竣工总投资1,192,625.41元（工程审定投资1,186,625.41元，监理费0元，审计费6,000.00元）。</w:t>
      </w:r>
    </w:p>
    <w:p>
      <w:pPr>
        <w:spacing w:line="300" w:lineRule="auto"/>
        <w:ind w:firstLine="560" w:firstLineChars="200"/>
        <w:jc w:val="both"/>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3、项目节约投资511,574.71元。项目申报</w:t>
      </w:r>
      <w:r>
        <w:rPr>
          <w:rFonts w:hint="eastAsia" w:ascii="仿宋_GB2312" w:eastAsia="仿宋_GB2312"/>
          <w:color w:val="auto"/>
          <w:sz w:val="28"/>
          <w:szCs w:val="28"/>
          <w:highlight w:val="none"/>
        </w:rPr>
        <w:t>投资</w:t>
      </w:r>
      <w:r>
        <w:rPr>
          <w:rFonts w:hint="eastAsia" w:ascii="仿宋_GB2312" w:eastAsia="仿宋_GB2312"/>
          <w:color w:val="auto"/>
          <w:sz w:val="28"/>
          <w:szCs w:val="28"/>
          <w:highlight w:val="none"/>
          <w:lang w:val="en-US" w:eastAsia="zh-CN"/>
        </w:rPr>
        <w:t>3,000,000.00元，项目完成总投资2,488,425.29元，节约投资511,574.71元，节约率17.05%。</w:t>
      </w:r>
    </w:p>
    <w:p>
      <w:pPr>
        <w:spacing w:line="300" w:lineRule="auto"/>
        <w:ind w:firstLine="562" w:firstLineChars="200"/>
        <w:outlineLvl w:val="9"/>
        <w:rPr>
          <w:b/>
          <w:bCs/>
          <w:color w:val="auto"/>
          <w:sz w:val="28"/>
          <w:szCs w:val="28"/>
          <w:highlight w:val="none"/>
        </w:rPr>
      </w:pPr>
      <w:r>
        <w:rPr>
          <w:rFonts w:hint="eastAsia"/>
          <w:b/>
          <w:bCs/>
          <w:color w:val="auto"/>
          <w:sz w:val="28"/>
          <w:szCs w:val="28"/>
          <w:highlight w:val="none"/>
          <w:lang w:eastAsia="zh-CN"/>
        </w:rPr>
        <w:t>（</w:t>
      </w:r>
      <w:r>
        <w:rPr>
          <w:rFonts w:hint="eastAsia"/>
          <w:b/>
          <w:bCs/>
          <w:color w:val="auto"/>
          <w:sz w:val="28"/>
          <w:szCs w:val="28"/>
          <w:highlight w:val="none"/>
          <w:lang w:val="en-US" w:eastAsia="zh-CN"/>
        </w:rPr>
        <w:t>六）项目</w:t>
      </w:r>
      <w:r>
        <w:rPr>
          <w:rFonts w:hint="eastAsia"/>
          <w:b/>
          <w:bCs/>
          <w:color w:val="auto"/>
          <w:sz w:val="28"/>
          <w:szCs w:val="28"/>
          <w:highlight w:val="none"/>
        </w:rPr>
        <w:t>资金</w:t>
      </w:r>
      <w:r>
        <w:rPr>
          <w:rFonts w:hint="eastAsia"/>
          <w:b/>
          <w:bCs/>
          <w:color w:val="auto"/>
          <w:sz w:val="28"/>
          <w:szCs w:val="28"/>
          <w:highlight w:val="none"/>
          <w:lang w:val="en-US" w:eastAsia="zh-CN"/>
        </w:rPr>
        <w:t>收</w:t>
      </w:r>
      <w:r>
        <w:rPr>
          <w:rFonts w:hint="eastAsia"/>
          <w:b/>
          <w:bCs/>
          <w:color w:val="auto"/>
          <w:sz w:val="28"/>
          <w:szCs w:val="28"/>
          <w:highlight w:val="none"/>
        </w:rPr>
        <w:t>付情况</w:t>
      </w:r>
    </w:p>
    <w:p>
      <w:pPr>
        <w:widowControl/>
        <w:spacing w:line="300" w:lineRule="auto"/>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临空经济区乡村振兴财政衔接资金，采取财政直达方式，直接拨付至用款单位。</w:t>
      </w:r>
    </w:p>
    <w:p>
      <w:pPr>
        <w:widowControl/>
        <w:spacing w:line="300" w:lineRule="auto"/>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该项目财政衔接资金</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50</w:t>
      </w:r>
      <w:r>
        <w:rPr>
          <w:rFonts w:hint="eastAsia" w:ascii="仿宋_GB2312" w:hAnsi="宋体" w:eastAsia="仿宋_GB2312"/>
          <w:color w:val="auto"/>
          <w:sz w:val="28"/>
          <w:szCs w:val="28"/>
          <w:highlight w:val="none"/>
        </w:rPr>
        <w:t>0,000.00元。</w:t>
      </w:r>
    </w:p>
    <w:p>
      <w:pPr>
        <w:ind w:firstLine="560" w:firstLineChars="200"/>
        <w:rPr>
          <w:rFonts w:hint="eastAsia" w:eastAsia="仿宋_GB2312"/>
          <w:color w:val="auto"/>
          <w:highlight w:val="none"/>
          <w:lang w:val="en-US" w:eastAsia="zh-CN"/>
        </w:rPr>
      </w:pPr>
      <w:r>
        <w:rPr>
          <w:rFonts w:hint="eastAsia" w:ascii="仿宋_GB2312" w:hAnsi="宋体" w:eastAsia="仿宋_GB2312"/>
          <w:color w:val="auto"/>
          <w:sz w:val="28"/>
          <w:szCs w:val="28"/>
          <w:highlight w:val="none"/>
        </w:rPr>
        <w:t>截至</w:t>
      </w:r>
      <w:r>
        <w:rPr>
          <w:rFonts w:hint="eastAsia" w:ascii="仿宋_GB2312" w:hAnsi="宋体" w:eastAsia="仿宋_GB2312"/>
          <w:color w:val="auto"/>
          <w:sz w:val="28"/>
          <w:szCs w:val="28"/>
          <w:highlight w:val="none"/>
          <w:lang w:eastAsia="zh-CN"/>
        </w:rPr>
        <w:t>2024年3月31日</w:t>
      </w:r>
      <w:r>
        <w:rPr>
          <w:rFonts w:hint="eastAsia" w:ascii="仿宋_GB2312" w:hAnsi="宋体" w:eastAsia="仿宋_GB2312"/>
          <w:color w:val="auto"/>
          <w:sz w:val="28"/>
          <w:szCs w:val="28"/>
          <w:highlight w:val="none"/>
        </w:rPr>
        <w:t>，已经拨付财政衔接资金2</w:t>
      </w:r>
      <w:r>
        <w:rPr>
          <w:rFonts w:ascii="仿宋_GB2312" w:hAnsi="宋体" w:eastAsia="仿宋_GB2312"/>
          <w:color w:val="auto"/>
          <w:sz w:val="28"/>
          <w:szCs w:val="28"/>
          <w:highlight w:val="none"/>
        </w:rPr>
        <w:t>,</w:t>
      </w:r>
      <w:r>
        <w:rPr>
          <w:rFonts w:hint="eastAsia" w:ascii="仿宋_GB2312" w:hAnsi="宋体" w:eastAsia="仿宋_GB2312"/>
          <w:color w:val="auto"/>
          <w:sz w:val="28"/>
          <w:szCs w:val="28"/>
          <w:highlight w:val="none"/>
        </w:rPr>
        <w:t>453</w:t>
      </w:r>
      <w:r>
        <w:rPr>
          <w:rFonts w:ascii="仿宋_GB2312" w:hAnsi="宋体" w:eastAsia="仿宋_GB2312"/>
          <w:color w:val="auto"/>
          <w:sz w:val="28"/>
          <w:szCs w:val="28"/>
          <w:highlight w:val="none"/>
        </w:rPr>
        <w:t>,</w:t>
      </w:r>
      <w:r>
        <w:rPr>
          <w:rFonts w:hint="eastAsia" w:ascii="仿宋_GB2312" w:hAnsi="宋体" w:eastAsia="仿宋_GB2312"/>
          <w:color w:val="auto"/>
          <w:sz w:val="28"/>
          <w:szCs w:val="28"/>
          <w:highlight w:val="none"/>
        </w:rPr>
        <w:t>425.29元，其中：项目工程施工费</w:t>
      </w:r>
      <w:r>
        <w:rPr>
          <w:rFonts w:hint="eastAsia" w:ascii="仿宋_GB2312" w:hAnsi="宋体" w:eastAsia="仿宋_GB2312"/>
          <w:color w:val="auto"/>
          <w:sz w:val="28"/>
          <w:szCs w:val="28"/>
          <w:highlight w:val="none"/>
          <w:lang w:val="en-US" w:eastAsia="zh-CN"/>
        </w:rPr>
        <w:t>2,429,425.29元（鄂州市骉探建材贸易有限公司87,210.00元，湖北吉佳福建设有限公司1,190,589.88元，鄂州市协盈种养殖农民专业合作社1,151,625.41元），</w:t>
      </w:r>
      <w:r>
        <w:rPr>
          <w:rFonts w:hint="eastAsia" w:ascii="仿宋_GB2312" w:hAnsi="宋体" w:eastAsia="仿宋_GB2312"/>
          <w:color w:val="auto"/>
          <w:sz w:val="28"/>
          <w:szCs w:val="28"/>
          <w:highlight w:val="none"/>
        </w:rPr>
        <w:t>结算审计费</w:t>
      </w:r>
      <w:r>
        <w:rPr>
          <w:rFonts w:hint="eastAsia" w:ascii="仿宋_GB2312" w:hAnsi="宋体" w:eastAsia="仿宋_GB2312"/>
          <w:color w:val="auto"/>
          <w:sz w:val="28"/>
          <w:szCs w:val="28"/>
          <w:highlight w:val="none"/>
          <w:lang w:val="en-US" w:eastAsia="zh-CN"/>
        </w:rPr>
        <w:t>14</w:t>
      </w:r>
      <w:r>
        <w:rPr>
          <w:rFonts w:ascii="仿宋_GB2312" w:hAnsi="宋体" w:eastAsia="仿宋_GB2312"/>
          <w:color w:val="auto"/>
          <w:sz w:val="28"/>
          <w:szCs w:val="28"/>
          <w:highlight w:val="none"/>
        </w:rPr>
        <w:t>,</w:t>
      </w:r>
      <w:r>
        <w:rPr>
          <w:rFonts w:hint="eastAsia" w:ascii="仿宋_GB2312" w:hAnsi="宋体" w:eastAsia="仿宋_GB2312"/>
          <w:color w:val="auto"/>
          <w:sz w:val="28"/>
          <w:szCs w:val="28"/>
          <w:highlight w:val="none"/>
        </w:rPr>
        <w:t>000.00元</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监理费</w:t>
      </w:r>
      <w:r>
        <w:rPr>
          <w:rFonts w:hint="eastAsia" w:ascii="仿宋_GB2312" w:hAnsi="宋体" w:eastAsia="仿宋_GB2312"/>
          <w:color w:val="auto"/>
          <w:sz w:val="28"/>
          <w:szCs w:val="28"/>
          <w:highlight w:val="none"/>
          <w:lang w:val="en-US" w:eastAsia="zh-CN"/>
        </w:rPr>
        <w:t>10</w:t>
      </w:r>
      <w:r>
        <w:rPr>
          <w:rFonts w:ascii="仿宋_GB2312" w:hAnsi="宋体" w:eastAsia="仿宋_GB2312"/>
          <w:color w:val="auto"/>
          <w:sz w:val="28"/>
          <w:szCs w:val="28"/>
          <w:highlight w:val="none"/>
        </w:rPr>
        <w:t>,</w:t>
      </w:r>
      <w:r>
        <w:rPr>
          <w:rFonts w:hint="eastAsia" w:ascii="仿宋_GB2312" w:hAnsi="宋体" w:eastAsia="仿宋_GB2312"/>
          <w:color w:val="auto"/>
          <w:sz w:val="28"/>
          <w:szCs w:val="28"/>
          <w:highlight w:val="none"/>
        </w:rPr>
        <w:t>000.00元</w:t>
      </w:r>
      <w:r>
        <w:rPr>
          <w:rFonts w:hint="eastAsia" w:ascii="仿宋_GB2312" w:hAnsi="宋体" w:eastAsia="仿宋_GB2312"/>
          <w:color w:val="auto"/>
          <w:sz w:val="28"/>
          <w:szCs w:val="28"/>
          <w:highlight w:val="none"/>
          <w:lang w:eastAsia="zh-CN"/>
        </w:rPr>
        <w:t>。</w:t>
      </w:r>
    </w:p>
    <w:p>
      <w:pPr>
        <w:widowControl/>
        <w:spacing w:line="300" w:lineRule="auto"/>
        <w:ind w:firstLine="560" w:firstLineChars="200"/>
        <w:jc w:val="left"/>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暂未拨付资金46</w:t>
      </w:r>
      <w:r>
        <w:rPr>
          <w:rFonts w:ascii="仿宋_GB2312" w:hAnsi="宋体" w:eastAsia="仿宋_GB2312"/>
          <w:color w:val="auto"/>
          <w:sz w:val="28"/>
          <w:szCs w:val="28"/>
          <w:highlight w:val="none"/>
        </w:rPr>
        <w:t>,</w:t>
      </w:r>
      <w:r>
        <w:rPr>
          <w:rFonts w:hint="eastAsia" w:ascii="仿宋_GB2312" w:hAnsi="宋体" w:eastAsia="仿宋_GB2312"/>
          <w:color w:val="auto"/>
          <w:sz w:val="28"/>
          <w:szCs w:val="28"/>
          <w:highlight w:val="none"/>
        </w:rPr>
        <w:t>574.71元</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其中：质保金35,000.00元，节约投资额11,574.71元（无需拨付）</w:t>
      </w:r>
      <w:r>
        <w:rPr>
          <w:rFonts w:hint="eastAsia" w:ascii="仿宋_GB2312" w:hAnsi="宋体" w:eastAsia="仿宋_GB2312"/>
          <w:color w:val="auto"/>
          <w:sz w:val="28"/>
          <w:szCs w:val="28"/>
          <w:highlight w:val="none"/>
        </w:rPr>
        <w:t>。</w:t>
      </w:r>
    </w:p>
    <w:p>
      <w:pPr>
        <w:widowControl/>
        <w:spacing w:line="300" w:lineRule="auto"/>
        <w:ind w:firstLine="413" w:firstLineChars="147"/>
        <w:jc w:val="left"/>
        <w:outlineLvl w:val="9"/>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二、绩效评价工作情况</w:t>
      </w:r>
    </w:p>
    <w:p>
      <w:pPr>
        <w:widowControl/>
        <w:spacing w:line="300" w:lineRule="auto"/>
        <w:ind w:firstLine="413" w:firstLineChars="147"/>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（一）绩效评价目的</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通过本次评价，旨在全面了解</w:t>
      </w:r>
      <w:r>
        <w:rPr>
          <w:rFonts w:hint="eastAsia" w:ascii="仿宋_GB2312" w:hAnsi="宋体" w:eastAsia="仿宋_GB2312"/>
          <w:color w:val="auto"/>
          <w:sz w:val="28"/>
          <w:szCs w:val="28"/>
          <w:highlight w:val="none"/>
          <w:lang w:eastAsia="zh-CN"/>
        </w:rPr>
        <w:t>赵寨村观云林果茶园项目</w:t>
      </w:r>
      <w:r>
        <w:rPr>
          <w:rFonts w:hint="eastAsia" w:ascii="仿宋_GB2312" w:hAnsi="宋体" w:eastAsia="仿宋_GB2312"/>
          <w:color w:val="auto"/>
          <w:sz w:val="28"/>
          <w:szCs w:val="28"/>
          <w:highlight w:val="none"/>
        </w:rPr>
        <w:t>建设情况、财政衔接资金拨付和使用情况以及取得的综合绩效。同时通过对项目资金绩效评价，总结经验、发现问题、提出改进建议，保证项目资金使用管理的规范性、安全性和有效性。推进景区健康、可持续发展做出积极的贡献。</w:t>
      </w:r>
    </w:p>
    <w:p>
      <w:pPr>
        <w:widowControl/>
        <w:spacing w:line="300" w:lineRule="auto"/>
        <w:ind w:firstLine="413" w:firstLineChars="147"/>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（二）评价对象与范围</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本次资金绩效评价对象与范围为：</w:t>
      </w:r>
      <w:r>
        <w:rPr>
          <w:rFonts w:hint="eastAsia" w:ascii="仿宋_GB2312" w:hAnsi="宋体" w:eastAsia="仿宋_GB2312"/>
          <w:color w:val="auto"/>
          <w:sz w:val="28"/>
          <w:szCs w:val="28"/>
          <w:highlight w:val="none"/>
          <w:lang w:eastAsia="zh-CN"/>
        </w:rPr>
        <w:t>赵寨村观云林果茶园项目</w:t>
      </w:r>
      <w:r>
        <w:rPr>
          <w:rFonts w:hint="eastAsia" w:ascii="仿宋_GB2312" w:hAnsi="宋体" w:eastAsia="仿宋_GB2312"/>
          <w:color w:val="auto"/>
          <w:sz w:val="28"/>
          <w:szCs w:val="28"/>
          <w:highlight w:val="none"/>
        </w:rPr>
        <w:t>财政衔接资金</w:t>
      </w:r>
      <w:r>
        <w:rPr>
          <w:rFonts w:hint="eastAsia" w:ascii="仿宋_GB2312" w:hAnsi="宋体" w:eastAsia="仿宋_GB2312"/>
          <w:color w:val="auto"/>
          <w:sz w:val="28"/>
          <w:szCs w:val="28"/>
          <w:highlight w:val="none"/>
          <w:lang w:val="en-US" w:eastAsia="zh-CN"/>
        </w:rPr>
        <w:t>250</w:t>
      </w:r>
      <w:r>
        <w:rPr>
          <w:rFonts w:hint="eastAsia" w:ascii="仿宋_GB2312" w:hAnsi="宋体" w:eastAsia="仿宋_GB2312"/>
          <w:color w:val="auto"/>
          <w:sz w:val="28"/>
          <w:szCs w:val="28"/>
          <w:highlight w:val="none"/>
        </w:rPr>
        <w:t>万元</w:t>
      </w:r>
      <w:r>
        <w:rPr>
          <w:rFonts w:hint="eastAsia" w:ascii="仿宋_GB2312" w:hAnsi="宋体" w:eastAsia="仿宋_GB2312"/>
          <w:color w:val="auto"/>
          <w:sz w:val="28"/>
          <w:szCs w:val="28"/>
          <w:highlight w:val="none"/>
          <w:lang w:val="en-US" w:eastAsia="zh-CN"/>
        </w:rPr>
        <w:t>和自筹资金50万元</w:t>
      </w:r>
      <w:r>
        <w:rPr>
          <w:rFonts w:hint="eastAsia" w:ascii="仿宋_GB2312" w:hAnsi="宋体" w:eastAsia="仿宋_GB2312"/>
          <w:color w:val="auto"/>
          <w:sz w:val="28"/>
          <w:szCs w:val="28"/>
          <w:highlight w:val="none"/>
        </w:rPr>
        <w:t>的拨付和使用情况。</w:t>
      </w:r>
    </w:p>
    <w:p>
      <w:pPr>
        <w:widowControl/>
        <w:spacing w:line="300" w:lineRule="auto"/>
        <w:ind w:firstLine="413" w:firstLineChars="147"/>
        <w:jc w:val="left"/>
        <w:outlineLvl w:val="9"/>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lang w:eastAsia="zh-CN"/>
        </w:rPr>
        <w:t>三</w:t>
      </w:r>
      <w:r>
        <w:rPr>
          <w:rFonts w:hint="eastAsia" w:ascii="宋体" w:hAnsi="宋体" w:cs="宋体"/>
          <w:b/>
          <w:bCs/>
          <w:color w:val="auto"/>
          <w:kern w:val="0"/>
          <w:sz w:val="28"/>
          <w:szCs w:val="28"/>
          <w:highlight w:val="none"/>
        </w:rPr>
        <w:t>、评价结论</w:t>
      </w:r>
    </w:p>
    <w:p>
      <w:pPr>
        <w:widowControl/>
        <w:spacing w:line="300" w:lineRule="auto"/>
        <w:ind w:firstLine="413" w:firstLineChars="147"/>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（一）评分结果</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赵寨村观云林果茶园项目</w:t>
      </w:r>
      <w:r>
        <w:rPr>
          <w:rFonts w:hint="eastAsia" w:ascii="仿宋_GB2312" w:hAnsi="宋体" w:eastAsia="仿宋_GB2312"/>
          <w:color w:val="auto"/>
          <w:sz w:val="28"/>
          <w:szCs w:val="28"/>
          <w:highlight w:val="none"/>
        </w:rPr>
        <w:t>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rPr>
          <w:color w:val="auto"/>
          <w:highlight w:val="none"/>
        </w:rPr>
      </w:pPr>
      <w:r>
        <w:rPr>
          <w:rFonts w:hint="eastAsia" w:ascii="仿宋_GB2312" w:hAnsi="宋体" w:eastAsia="仿宋_GB2312"/>
          <w:color w:val="auto"/>
          <w:sz w:val="28"/>
          <w:szCs w:val="28"/>
          <w:highlight w:val="none"/>
        </w:rPr>
        <w:t>经评价工作组评定，</w:t>
      </w:r>
      <w:r>
        <w:rPr>
          <w:rFonts w:hint="eastAsia" w:ascii="仿宋_GB2312" w:hAnsi="宋体" w:eastAsia="仿宋_GB2312"/>
          <w:color w:val="auto"/>
          <w:sz w:val="28"/>
          <w:szCs w:val="28"/>
          <w:highlight w:val="none"/>
          <w:lang w:eastAsia="zh-CN"/>
        </w:rPr>
        <w:t>赵寨村观云林果茶园项目</w:t>
      </w:r>
      <w:r>
        <w:rPr>
          <w:rFonts w:hint="eastAsia" w:ascii="仿宋_GB2312" w:hAnsi="宋体" w:eastAsia="仿宋_GB2312"/>
          <w:color w:val="auto"/>
          <w:sz w:val="28"/>
          <w:szCs w:val="28"/>
          <w:highlight w:val="none"/>
        </w:rPr>
        <w:t>财政衔接资金绩效评价综合得分为</w:t>
      </w:r>
      <w:r>
        <w:rPr>
          <w:rFonts w:hint="eastAsia" w:ascii="仿宋_GB2312" w:hAnsi="宋体" w:eastAsia="仿宋_GB2312"/>
          <w:color w:val="auto"/>
          <w:sz w:val="28"/>
          <w:szCs w:val="28"/>
          <w:highlight w:val="none"/>
          <w:lang w:val="en-US" w:eastAsia="zh-CN"/>
        </w:rPr>
        <w:t>94</w:t>
      </w:r>
      <w:r>
        <w:rPr>
          <w:rFonts w:hint="eastAsia" w:ascii="仿宋_GB2312" w:hAnsi="宋体" w:eastAsia="仿宋_GB2312"/>
          <w:color w:val="auto"/>
          <w:sz w:val="28"/>
          <w:szCs w:val="28"/>
          <w:highlight w:val="none"/>
        </w:rPr>
        <w:t>分，绩效等级为</w:t>
      </w:r>
      <w:r>
        <w:rPr>
          <w:rFonts w:hint="eastAsia" w:ascii="仿宋_GB2312" w:hAnsi="宋体" w:eastAsia="仿宋_GB2312"/>
          <w:color w:val="auto"/>
          <w:sz w:val="28"/>
          <w:szCs w:val="28"/>
          <w:highlight w:val="none"/>
          <w:lang w:val="en-US" w:eastAsia="zh-CN"/>
        </w:rPr>
        <w:t>优</w:t>
      </w:r>
      <w:r>
        <w:rPr>
          <w:rFonts w:hint="eastAsia" w:ascii="仿宋_GB2312" w:hAnsi="宋体" w:eastAsia="仿宋_GB2312"/>
          <w:color w:val="auto"/>
          <w:sz w:val="28"/>
          <w:szCs w:val="28"/>
          <w:highlight w:val="none"/>
        </w:rPr>
        <w:t>。</w:t>
      </w:r>
    </w:p>
    <w:tbl>
      <w:tblPr>
        <w:tblStyle w:val="6"/>
        <w:tblW w:w="8700" w:type="dxa"/>
        <w:tblInd w:w="96" w:type="dxa"/>
        <w:tblLayout w:type="fixed"/>
        <w:tblCellMar>
          <w:top w:w="0" w:type="dxa"/>
          <w:left w:w="108" w:type="dxa"/>
          <w:bottom w:w="0" w:type="dxa"/>
          <w:right w:w="108" w:type="dxa"/>
        </w:tblCellMar>
      </w:tblPr>
      <w:tblGrid>
        <w:gridCol w:w="521"/>
        <w:gridCol w:w="638"/>
        <w:gridCol w:w="1158"/>
        <w:gridCol w:w="623"/>
        <w:gridCol w:w="2439"/>
        <w:gridCol w:w="626"/>
        <w:gridCol w:w="575"/>
        <w:gridCol w:w="2120"/>
      </w:tblGrid>
      <w:tr>
        <w:tblPrEx>
          <w:tblCellMar>
            <w:top w:w="0" w:type="dxa"/>
            <w:left w:w="108" w:type="dxa"/>
            <w:bottom w:w="0" w:type="dxa"/>
            <w:right w:w="108" w:type="dxa"/>
          </w:tblCellMar>
        </w:tblPrEx>
        <w:trPr>
          <w:trHeight w:val="90" w:hRule="atLeast"/>
        </w:trPr>
        <w:tc>
          <w:tcPr>
            <w:tcW w:w="8700" w:type="dxa"/>
            <w:gridSpan w:val="8"/>
            <w:tcBorders>
              <w:top w:val="nil"/>
              <w:left w:val="nil"/>
              <w:bottom w:val="nil"/>
              <w:right w:val="nil"/>
            </w:tcBorders>
            <w:noWrap/>
            <w:vAlign w:val="center"/>
          </w:tcPr>
          <w:p>
            <w:pPr>
              <w:keepNext w:val="0"/>
              <w:keepLines w:val="0"/>
              <w:widowControl/>
              <w:suppressLineNumbers w:val="0"/>
              <w:jc w:val="center"/>
              <w:textAlignment w:val="center"/>
              <w:rPr>
                <w:rFonts w:ascii="宋体" w:hAnsi="宋体" w:cs="宋体"/>
                <w:color w:val="auto"/>
                <w:sz w:val="22"/>
                <w:szCs w:val="22"/>
                <w:highlight w:val="none"/>
              </w:rPr>
            </w:pPr>
            <w:r>
              <w:rPr>
                <w:rFonts w:hint="eastAsia" w:ascii="宋体" w:hAnsi="宋体" w:eastAsia="宋体" w:cs="宋体"/>
                <w:b/>
                <w:bCs/>
                <w:i w:val="0"/>
                <w:iCs w:val="0"/>
                <w:color w:val="auto"/>
                <w:kern w:val="0"/>
                <w:sz w:val="28"/>
                <w:szCs w:val="28"/>
                <w:highlight w:val="none"/>
                <w:u w:val="none"/>
                <w:lang w:val="en-US" w:eastAsia="zh-CN" w:bidi="ar"/>
              </w:rPr>
              <w:t>赵寨村观云林果茶园项目评分简表</w:t>
            </w:r>
          </w:p>
        </w:tc>
      </w:tr>
      <w:tr>
        <w:tblPrEx>
          <w:tblCellMar>
            <w:top w:w="0" w:type="dxa"/>
            <w:left w:w="108" w:type="dxa"/>
            <w:bottom w:w="0" w:type="dxa"/>
            <w:right w:w="108" w:type="dxa"/>
          </w:tblCellMar>
        </w:tblPrEx>
        <w:trPr>
          <w:trHeight w:val="288" w:hRule="atLeast"/>
        </w:trPr>
        <w:tc>
          <w:tcPr>
            <w:tcW w:w="52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一级</w:t>
            </w:r>
          </w:p>
        </w:tc>
        <w:tc>
          <w:tcPr>
            <w:tcW w:w="63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分</w:t>
            </w:r>
          </w:p>
        </w:tc>
        <w:tc>
          <w:tcPr>
            <w:tcW w:w="115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二级</w:t>
            </w:r>
          </w:p>
        </w:tc>
        <w:tc>
          <w:tcPr>
            <w:tcW w:w="62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分</w:t>
            </w:r>
          </w:p>
        </w:tc>
        <w:tc>
          <w:tcPr>
            <w:tcW w:w="243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三级指标</w:t>
            </w:r>
          </w:p>
        </w:tc>
        <w:tc>
          <w:tcPr>
            <w:tcW w:w="62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分</w:t>
            </w:r>
          </w:p>
        </w:tc>
        <w:tc>
          <w:tcPr>
            <w:tcW w:w="5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得分</w:t>
            </w:r>
          </w:p>
        </w:tc>
        <w:tc>
          <w:tcPr>
            <w:tcW w:w="21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失分原因</w:t>
            </w:r>
          </w:p>
        </w:tc>
      </w:tr>
      <w:tr>
        <w:tblPrEx>
          <w:tblCellMar>
            <w:top w:w="0" w:type="dxa"/>
            <w:left w:w="108" w:type="dxa"/>
            <w:bottom w:w="0" w:type="dxa"/>
            <w:right w:w="108" w:type="dxa"/>
          </w:tblCellMar>
        </w:tblPrEx>
        <w:trPr>
          <w:trHeight w:val="288"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指标</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值</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指标</w:t>
            </w:r>
          </w:p>
        </w:tc>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值</w:t>
            </w:r>
          </w:p>
        </w:tc>
        <w:tc>
          <w:tcPr>
            <w:tcW w:w="2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0"/>
                <w:szCs w:val="20"/>
                <w:highlight w:val="none"/>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b/>
                <w:bCs/>
                <w:i w:val="0"/>
                <w:iCs w:val="0"/>
                <w:color w:val="auto"/>
                <w:kern w:val="0"/>
                <w:sz w:val="20"/>
                <w:szCs w:val="20"/>
                <w:highlight w:val="none"/>
                <w:u w:val="none"/>
                <w:lang w:val="en-US" w:eastAsia="zh-CN" w:bidi="ar"/>
              </w:rPr>
              <w:t>值</w:t>
            </w:r>
          </w:p>
        </w:tc>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highlight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决策</w:t>
            </w:r>
          </w:p>
        </w:tc>
        <w:tc>
          <w:tcPr>
            <w:tcW w:w="63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18</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项目立项</w:t>
            </w: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24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立项依据充分性</w:t>
            </w:r>
          </w:p>
        </w:tc>
        <w:tc>
          <w:tcPr>
            <w:tcW w:w="6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2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立项程序规范性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绩效目标</w:t>
            </w:r>
          </w:p>
        </w:tc>
        <w:tc>
          <w:tcPr>
            <w:tcW w:w="623"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绩效目标合理性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21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绩效指标的批复</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资金投入</w:t>
            </w:r>
          </w:p>
        </w:tc>
        <w:tc>
          <w:tcPr>
            <w:tcW w:w="623"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财政衔接资金明确性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21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其他配套资金明确性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cs="宋体"/>
                <w:i w:val="0"/>
                <w:iCs w:val="0"/>
                <w:color w:val="auto"/>
                <w:kern w:val="0"/>
                <w:sz w:val="20"/>
                <w:szCs w:val="20"/>
                <w:highlight w:val="none"/>
                <w:u w:val="none"/>
                <w:lang w:val="en-US" w:eastAsia="zh-CN" w:bidi="ar"/>
              </w:rPr>
              <w:t>0</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hint="default" w:ascii="宋体" w:hAnsi="宋体" w:eastAsia="宋体" w:cs="宋体"/>
                <w:color w:val="auto"/>
                <w:sz w:val="20"/>
                <w:szCs w:val="20"/>
                <w:highlight w:val="none"/>
                <w:lang w:val="en-US" w:eastAsia="zh-CN"/>
              </w:rPr>
            </w:pPr>
            <w:r>
              <w:rPr>
                <w:rFonts w:hint="eastAsia" w:ascii="宋体" w:hAnsi="宋体" w:cs="宋体"/>
                <w:color w:val="auto"/>
                <w:sz w:val="20"/>
                <w:szCs w:val="20"/>
                <w:highlight w:val="none"/>
                <w:lang w:val="en-US" w:eastAsia="zh-CN"/>
              </w:rPr>
              <w:t>可能实际不需要其他资金</w:t>
            </w: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过程</w:t>
            </w:r>
          </w:p>
        </w:tc>
        <w:tc>
          <w:tcPr>
            <w:tcW w:w="63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30</w:t>
            </w:r>
          </w:p>
        </w:tc>
        <w:tc>
          <w:tcPr>
            <w:tcW w:w="115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资金落实</w:t>
            </w:r>
          </w:p>
        </w:tc>
        <w:tc>
          <w:tcPr>
            <w:tcW w:w="623"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资金到位率</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color w:val="auto"/>
                <w:highlight w:val="none"/>
                <w:lang w:val="en-US"/>
              </w:rPr>
            </w:pPr>
            <w:r>
              <w:rPr>
                <w:rFonts w:hint="eastAsia" w:ascii="宋体" w:hAnsi="宋体" w:cs="宋体"/>
                <w:i w:val="0"/>
                <w:iCs w:val="0"/>
                <w:color w:val="auto"/>
                <w:kern w:val="0"/>
                <w:sz w:val="20"/>
                <w:szCs w:val="20"/>
                <w:highlight w:val="none"/>
                <w:u w:val="none"/>
                <w:lang w:val="en-US" w:eastAsia="zh-CN" w:bidi="ar"/>
              </w:rPr>
              <w:t>3</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cs="宋体"/>
                <w:i w:val="0"/>
                <w:iCs w:val="0"/>
                <w:color w:val="auto"/>
                <w:kern w:val="0"/>
                <w:sz w:val="20"/>
                <w:szCs w:val="20"/>
                <w:highlight w:val="none"/>
                <w:u w:val="none"/>
                <w:lang w:val="en-US" w:eastAsia="zh-CN" w:bidi="ar"/>
              </w:rPr>
              <w:t>未见自筹资金</w:t>
            </w:r>
            <w:r>
              <w:rPr>
                <w:rFonts w:hint="eastAsia" w:ascii="宋体" w:hAnsi="宋体" w:eastAsia="宋体" w:cs="宋体"/>
                <w:i w:val="0"/>
                <w:iCs w:val="0"/>
                <w:color w:val="auto"/>
                <w:kern w:val="0"/>
                <w:sz w:val="20"/>
                <w:szCs w:val="20"/>
                <w:highlight w:val="none"/>
                <w:u w:val="none"/>
                <w:lang w:val="en-US" w:eastAsia="zh-CN" w:bidi="ar"/>
              </w:rPr>
              <w:t>到位</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到位及时率</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cs="宋体"/>
                <w:i w:val="0"/>
                <w:iCs w:val="0"/>
                <w:color w:val="auto"/>
                <w:kern w:val="0"/>
                <w:sz w:val="20"/>
                <w:szCs w:val="20"/>
                <w:highlight w:val="none"/>
                <w:u w:val="none"/>
                <w:lang w:val="en-US" w:eastAsia="zh-CN" w:bidi="ar"/>
              </w:rPr>
              <w:t>2</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财务管理</w:t>
            </w:r>
          </w:p>
        </w:tc>
        <w:tc>
          <w:tcPr>
            <w:tcW w:w="623"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资金拨付方式是否规范</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资金使用合规性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财务监控有效性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cs="宋体"/>
                <w:i w:val="0"/>
                <w:iCs w:val="0"/>
                <w:color w:val="auto"/>
                <w:kern w:val="0"/>
                <w:sz w:val="20"/>
                <w:szCs w:val="20"/>
                <w:highlight w:val="none"/>
                <w:u w:val="none"/>
                <w:lang w:val="en-US" w:eastAsia="zh-CN" w:bidi="ar"/>
              </w:rPr>
              <w:t>2</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hint="default" w:ascii="宋体" w:hAnsi="宋体" w:eastAsia="宋体" w:cs="宋体"/>
                <w:color w:val="auto"/>
                <w:sz w:val="20"/>
                <w:szCs w:val="20"/>
                <w:highlight w:val="none"/>
                <w:lang w:val="en-US" w:eastAsia="zh-CN"/>
              </w:rPr>
            </w:pPr>
            <w:r>
              <w:rPr>
                <w:rFonts w:hint="eastAsia" w:ascii="宋体" w:hAnsi="宋体" w:cs="宋体"/>
                <w:color w:val="auto"/>
                <w:sz w:val="20"/>
                <w:szCs w:val="20"/>
                <w:highlight w:val="none"/>
                <w:lang w:val="en-US" w:eastAsia="zh-CN"/>
              </w:rPr>
              <w:t>一期工程未预留质保金</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业务管理</w:t>
            </w:r>
          </w:p>
        </w:tc>
        <w:tc>
          <w:tcPr>
            <w:tcW w:w="623"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管理制度健全性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eastAsia="宋体"/>
                <w:color w:val="auto"/>
                <w:highlight w:val="none"/>
                <w:lang w:val="en-US" w:eastAsia="zh-CN"/>
              </w:rPr>
            </w:pPr>
            <w:r>
              <w:rPr>
                <w:rFonts w:hint="eastAsia"/>
                <w:color w:val="auto"/>
                <w:highlight w:val="none"/>
                <w:lang w:val="en-US" w:eastAsia="zh-CN"/>
              </w:rPr>
              <w:t>3</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hint="default" w:ascii="宋体" w:hAnsi="宋体" w:eastAsia="宋体" w:cs="宋体"/>
                <w:color w:val="auto"/>
                <w:sz w:val="20"/>
                <w:szCs w:val="20"/>
                <w:highlight w:val="none"/>
                <w:lang w:val="en-US" w:eastAsia="zh-CN"/>
              </w:rPr>
            </w:pPr>
            <w:r>
              <w:rPr>
                <w:rFonts w:hint="eastAsia" w:ascii="宋体" w:hAnsi="宋体" w:cs="宋体"/>
                <w:color w:val="auto"/>
                <w:sz w:val="20"/>
                <w:szCs w:val="20"/>
                <w:highlight w:val="none"/>
                <w:lang w:val="en-US" w:eastAsia="zh-CN"/>
              </w:rPr>
              <w:t>二期未执行监理制度</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制度执行有效性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eastAsia="宋体"/>
                <w:color w:val="auto"/>
                <w:highlight w:val="none"/>
                <w:lang w:val="en-US" w:eastAsia="zh-CN"/>
              </w:rPr>
            </w:pPr>
            <w:r>
              <w:rPr>
                <w:rFonts w:hint="eastAsia"/>
                <w:color w:val="auto"/>
                <w:highlight w:val="none"/>
                <w:lang w:val="en-US" w:eastAsia="zh-CN"/>
              </w:rPr>
              <w:t>3</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合同约定对外承包十万元保证金未及时进账</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项目质量可控性</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档案管理</w:t>
            </w:r>
          </w:p>
        </w:tc>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24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档案规范性</w:t>
            </w:r>
          </w:p>
        </w:tc>
        <w:tc>
          <w:tcPr>
            <w:tcW w:w="6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3</w:t>
            </w:r>
          </w:p>
        </w:tc>
        <w:tc>
          <w:tcPr>
            <w:tcW w:w="5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highlight w:val="none"/>
              </w:rPr>
            </w:pPr>
            <w:r>
              <w:rPr>
                <w:rFonts w:hint="eastAsia" w:ascii="宋体" w:hAnsi="宋体" w:cs="宋体"/>
                <w:i w:val="0"/>
                <w:iCs w:val="0"/>
                <w:color w:val="auto"/>
                <w:kern w:val="0"/>
                <w:sz w:val="20"/>
                <w:szCs w:val="20"/>
                <w:highlight w:val="none"/>
                <w:u w:val="none"/>
                <w:lang w:val="en-US" w:eastAsia="zh-CN" w:bidi="ar"/>
              </w:rPr>
              <w:t>3</w:t>
            </w:r>
          </w:p>
        </w:tc>
        <w:tc>
          <w:tcPr>
            <w:tcW w:w="2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产出</w:t>
            </w:r>
          </w:p>
        </w:tc>
        <w:tc>
          <w:tcPr>
            <w:tcW w:w="63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25</w:t>
            </w:r>
          </w:p>
        </w:tc>
        <w:tc>
          <w:tcPr>
            <w:tcW w:w="115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目标完成情况</w:t>
            </w:r>
          </w:p>
        </w:tc>
        <w:tc>
          <w:tcPr>
            <w:tcW w:w="623"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18</w:t>
            </w: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产出数量</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产出质量</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cs="宋体"/>
                <w:i w:val="0"/>
                <w:iCs w:val="0"/>
                <w:color w:val="auto"/>
                <w:kern w:val="0"/>
                <w:sz w:val="20"/>
                <w:szCs w:val="20"/>
                <w:highlight w:val="none"/>
                <w:u w:val="none"/>
                <w:lang w:val="en-US" w:eastAsia="zh-CN" w:bidi="ar"/>
              </w:rPr>
              <w:t>6</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产出时效（项目完成及时率）</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cs="宋体"/>
                <w:i w:val="0"/>
                <w:iCs w:val="0"/>
                <w:color w:val="auto"/>
                <w:kern w:val="0"/>
                <w:sz w:val="20"/>
                <w:szCs w:val="20"/>
                <w:highlight w:val="none"/>
                <w:u w:val="none"/>
                <w:lang w:val="en-US" w:eastAsia="zh-CN" w:bidi="ar"/>
              </w:rPr>
              <w:t>5</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hint="default" w:ascii="宋体" w:hAnsi="宋体" w:eastAsia="宋体" w:cs="宋体"/>
                <w:color w:val="auto"/>
                <w:sz w:val="20"/>
                <w:szCs w:val="20"/>
                <w:highlight w:val="none"/>
                <w:lang w:val="en-US" w:eastAsia="zh-CN"/>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资金使用情况</w:t>
            </w:r>
          </w:p>
        </w:tc>
        <w:tc>
          <w:tcPr>
            <w:tcW w:w="623"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资金使用率</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eastAsia="宋体"/>
                <w:color w:val="auto"/>
                <w:highlight w:val="none"/>
                <w:lang w:val="en-US" w:eastAsia="zh-CN"/>
              </w:rPr>
            </w:pPr>
            <w:r>
              <w:rPr>
                <w:rFonts w:hint="eastAsia"/>
                <w:color w:val="auto"/>
                <w:highlight w:val="none"/>
                <w:lang w:val="en-US" w:eastAsia="zh-CN"/>
              </w:rPr>
              <w:t>4</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成本节约率</w:t>
            </w: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2120"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auto"/>
                <w:sz w:val="24"/>
                <w:highlight w:val="none"/>
              </w:rPr>
            </w:pPr>
            <w:r>
              <w:rPr>
                <w:rFonts w:hint="eastAsia" w:ascii="宋体" w:hAnsi="宋体" w:eastAsia="宋体" w:cs="宋体"/>
                <w:i w:val="0"/>
                <w:iCs w:val="0"/>
                <w:color w:val="auto"/>
                <w:kern w:val="0"/>
                <w:sz w:val="20"/>
                <w:szCs w:val="20"/>
                <w:highlight w:val="none"/>
                <w:u w:val="none"/>
                <w:lang w:val="en-US" w:eastAsia="zh-CN" w:bidi="ar"/>
              </w:rPr>
              <w:t>效果</w:t>
            </w:r>
          </w:p>
        </w:tc>
        <w:tc>
          <w:tcPr>
            <w:tcW w:w="63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27</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auto"/>
                <w:kern w:val="0"/>
                <w:sz w:val="20"/>
                <w:szCs w:val="20"/>
                <w:highlight w:val="none"/>
                <w:u w:val="none"/>
                <w:lang w:val="en-US" w:eastAsia="zh-CN" w:bidi="ar"/>
              </w:rPr>
            </w:pPr>
            <w:r>
              <w:rPr>
                <w:rFonts w:hint="default" w:ascii="楷体_GB2312" w:hAnsi="宋体" w:eastAsia="楷体_GB2312" w:cs="楷体_GB2312"/>
                <w:i w:val="0"/>
                <w:iCs w:val="0"/>
                <w:color w:val="auto"/>
                <w:kern w:val="0"/>
                <w:sz w:val="20"/>
                <w:szCs w:val="20"/>
                <w:highlight w:val="none"/>
                <w:u w:val="none"/>
                <w:lang w:val="en-US" w:eastAsia="zh-CN" w:bidi="ar"/>
              </w:rPr>
              <w:t>社会经</w:t>
            </w:r>
          </w:p>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济效益</w:t>
            </w:r>
          </w:p>
        </w:tc>
        <w:tc>
          <w:tcPr>
            <w:tcW w:w="62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17</w:t>
            </w:r>
          </w:p>
        </w:tc>
        <w:tc>
          <w:tcPr>
            <w:tcW w:w="24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经济效益</w:t>
            </w:r>
          </w:p>
        </w:tc>
        <w:tc>
          <w:tcPr>
            <w:tcW w:w="6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5</w:t>
            </w:r>
          </w:p>
        </w:tc>
        <w:tc>
          <w:tcPr>
            <w:tcW w:w="5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社会效益</w:t>
            </w:r>
          </w:p>
        </w:tc>
        <w:tc>
          <w:tcPr>
            <w:tcW w:w="6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生态效益</w:t>
            </w:r>
          </w:p>
        </w:tc>
        <w:tc>
          <w:tcPr>
            <w:tcW w:w="6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6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24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服务对象满意度</w:t>
            </w:r>
          </w:p>
        </w:tc>
        <w:tc>
          <w:tcPr>
            <w:tcW w:w="6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4</w:t>
            </w:r>
          </w:p>
        </w:tc>
        <w:tc>
          <w:tcPr>
            <w:tcW w:w="5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楷体_GB2312" w:hAnsi="宋体" w:eastAsia="楷体_GB2312" w:cs="楷体_GB2312"/>
                <w:i w:val="0"/>
                <w:iCs w:val="0"/>
                <w:color w:val="auto"/>
                <w:kern w:val="0"/>
                <w:sz w:val="20"/>
                <w:szCs w:val="20"/>
                <w:highlight w:val="none"/>
                <w:u w:val="none"/>
                <w:lang w:val="en-US" w:eastAsia="zh-CN" w:bidi="ar"/>
              </w:rPr>
            </w:pPr>
            <w:r>
              <w:rPr>
                <w:rFonts w:hint="default" w:ascii="楷体_GB2312" w:hAnsi="宋体" w:eastAsia="楷体_GB2312" w:cs="楷体_GB2312"/>
                <w:i w:val="0"/>
                <w:iCs w:val="0"/>
                <w:color w:val="auto"/>
                <w:kern w:val="0"/>
                <w:sz w:val="20"/>
                <w:szCs w:val="20"/>
                <w:highlight w:val="none"/>
                <w:u w:val="none"/>
                <w:lang w:val="en-US" w:eastAsia="zh-CN" w:bidi="ar"/>
              </w:rPr>
              <w:t>可持续</w:t>
            </w:r>
          </w:p>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影响</w:t>
            </w: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7</w:t>
            </w:r>
          </w:p>
        </w:tc>
        <w:tc>
          <w:tcPr>
            <w:tcW w:w="24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建后经营管理</w:t>
            </w:r>
          </w:p>
        </w:tc>
        <w:tc>
          <w:tcPr>
            <w:tcW w:w="6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7</w:t>
            </w:r>
          </w:p>
        </w:tc>
        <w:tc>
          <w:tcPr>
            <w:tcW w:w="5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2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6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3</w:t>
            </w:r>
          </w:p>
        </w:tc>
        <w:tc>
          <w:tcPr>
            <w:tcW w:w="24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群众满意度</w:t>
            </w:r>
          </w:p>
        </w:tc>
        <w:tc>
          <w:tcPr>
            <w:tcW w:w="62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auto"/>
                <w:sz w:val="20"/>
                <w:szCs w:val="20"/>
                <w:highlight w:val="none"/>
              </w:rPr>
            </w:pPr>
            <w:r>
              <w:rPr>
                <w:rFonts w:hint="default" w:ascii="楷体_GB2312" w:hAnsi="宋体" w:eastAsia="楷体_GB2312" w:cs="楷体_GB2312"/>
                <w:i w:val="0"/>
                <w:iCs w:val="0"/>
                <w:color w:val="auto"/>
                <w:kern w:val="0"/>
                <w:sz w:val="20"/>
                <w:szCs w:val="20"/>
                <w:highlight w:val="none"/>
                <w:u w:val="none"/>
                <w:lang w:val="en-US" w:eastAsia="zh-CN" w:bidi="ar"/>
              </w:rPr>
              <w:t>3</w:t>
            </w:r>
          </w:p>
        </w:tc>
        <w:tc>
          <w:tcPr>
            <w:tcW w:w="5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21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总分</w:t>
            </w:r>
          </w:p>
        </w:tc>
        <w:tc>
          <w:tcPr>
            <w:tcW w:w="6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158"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auto"/>
                <w:sz w:val="20"/>
                <w:szCs w:val="20"/>
                <w:highlight w:val="none"/>
              </w:rPr>
            </w:pPr>
          </w:p>
        </w:tc>
        <w:tc>
          <w:tcPr>
            <w:tcW w:w="62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2439"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auto"/>
                <w:sz w:val="20"/>
                <w:szCs w:val="20"/>
                <w:highlight w:val="none"/>
              </w:rPr>
            </w:pPr>
          </w:p>
        </w:tc>
        <w:tc>
          <w:tcPr>
            <w:tcW w:w="62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5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color w:val="auto"/>
                <w:highlight w:val="none"/>
                <w:lang w:val="en-US"/>
              </w:rPr>
            </w:pPr>
            <w:r>
              <w:rPr>
                <w:rFonts w:hint="eastAsia" w:ascii="宋体" w:hAnsi="宋体" w:eastAsia="宋体" w:cs="宋体"/>
                <w:i w:val="0"/>
                <w:iCs w:val="0"/>
                <w:color w:val="auto"/>
                <w:kern w:val="0"/>
                <w:sz w:val="20"/>
                <w:szCs w:val="20"/>
                <w:highlight w:val="none"/>
                <w:u w:val="none"/>
                <w:lang w:val="en-US" w:eastAsia="zh-CN" w:bidi="ar"/>
              </w:rPr>
              <w:t>9</w:t>
            </w:r>
            <w:r>
              <w:rPr>
                <w:rFonts w:hint="eastAsia" w:ascii="宋体" w:hAnsi="宋体" w:cs="宋体"/>
                <w:i w:val="0"/>
                <w:iCs w:val="0"/>
                <w:color w:val="auto"/>
                <w:kern w:val="0"/>
                <w:sz w:val="20"/>
                <w:szCs w:val="20"/>
                <w:highlight w:val="none"/>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bl>
    <w:p>
      <w:pPr>
        <w:spacing w:line="300" w:lineRule="auto"/>
        <w:outlineLvl w:val="9"/>
        <w:rPr>
          <w:rFonts w:hint="eastAsia" w:ascii="宋体" w:hAnsi="宋体" w:cs="宋体"/>
          <w:b/>
          <w:color w:val="auto"/>
          <w:kern w:val="0"/>
          <w:sz w:val="28"/>
          <w:szCs w:val="28"/>
          <w:highlight w:val="none"/>
        </w:rPr>
      </w:pPr>
    </w:p>
    <w:p>
      <w:pPr>
        <w:spacing w:line="300" w:lineRule="auto"/>
        <w:ind w:firstLine="562" w:firstLineChars="200"/>
        <w:outlineLvl w:val="9"/>
        <w:rPr>
          <w:rFonts w:ascii="仿宋_GB2312"/>
          <w:b/>
          <w:color w:val="auto"/>
          <w:sz w:val="28"/>
          <w:szCs w:val="28"/>
          <w:highlight w:val="none"/>
        </w:rPr>
      </w:pPr>
      <w:r>
        <w:rPr>
          <w:rFonts w:hint="eastAsia" w:ascii="宋体" w:hAnsi="宋体" w:cs="宋体"/>
          <w:b/>
          <w:color w:val="auto"/>
          <w:kern w:val="0"/>
          <w:sz w:val="28"/>
          <w:szCs w:val="28"/>
          <w:highlight w:val="none"/>
        </w:rPr>
        <w:t>（二）</w:t>
      </w:r>
      <w:r>
        <w:rPr>
          <w:rFonts w:hint="eastAsia" w:ascii="仿宋_GB2312"/>
          <w:b/>
          <w:color w:val="auto"/>
          <w:sz w:val="28"/>
          <w:szCs w:val="28"/>
          <w:highlight w:val="none"/>
        </w:rPr>
        <w:t>主要结论</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通过对</w:t>
      </w:r>
      <w:r>
        <w:rPr>
          <w:rFonts w:hint="eastAsia" w:ascii="仿宋_GB2312" w:hAnsi="宋体" w:eastAsia="仿宋_GB2312"/>
          <w:color w:val="auto"/>
          <w:sz w:val="28"/>
          <w:szCs w:val="28"/>
          <w:highlight w:val="none"/>
          <w:lang w:val="en-US" w:eastAsia="zh-CN"/>
        </w:rPr>
        <w:t>赵寨村观云林果茶园项目</w:t>
      </w:r>
      <w:r>
        <w:rPr>
          <w:rFonts w:hint="eastAsia" w:ascii="仿宋_GB2312" w:hAnsi="宋体" w:eastAsia="仿宋_GB2312"/>
          <w:color w:val="auto"/>
          <w:sz w:val="28"/>
          <w:szCs w:val="28"/>
          <w:highlight w:val="none"/>
        </w:rPr>
        <w:t>财政衔接资金在投入、过程、产出和效果等方面的综合评价，得出如下结论：</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w:t>
      </w:r>
      <w:r>
        <w:rPr>
          <w:rFonts w:hint="eastAsia" w:ascii="仿宋_GB2312" w:hAnsi="宋体" w:eastAsia="仿宋_GB2312"/>
          <w:color w:val="auto"/>
          <w:sz w:val="28"/>
          <w:szCs w:val="28"/>
          <w:highlight w:val="none"/>
          <w:lang w:val="en-US" w:eastAsia="zh-CN"/>
        </w:rPr>
        <w:t>赵寨村观云林果茶园项目</w:t>
      </w:r>
      <w:r>
        <w:rPr>
          <w:rFonts w:hint="eastAsia" w:ascii="仿宋_GB2312" w:hAnsi="宋体" w:eastAsia="仿宋_GB2312"/>
          <w:color w:val="auto"/>
          <w:sz w:val="28"/>
          <w:szCs w:val="28"/>
          <w:highlight w:val="none"/>
        </w:rPr>
        <w:t>的立项，符合国家乡村振兴政策，契合</w:t>
      </w:r>
      <w:r>
        <w:rPr>
          <w:rFonts w:hint="eastAsia" w:ascii="仿宋_GB2312" w:hAnsi="宋体" w:eastAsia="仿宋_GB2312"/>
          <w:color w:val="auto"/>
          <w:sz w:val="28"/>
          <w:szCs w:val="28"/>
          <w:highlight w:val="none"/>
          <w:lang w:val="en-US" w:eastAsia="zh-CN"/>
        </w:rPr>
        <w:t>赵寨</w:t>
      </w:r>
      <w:r>
        <w:rPr>
          <w:rFonts w:hint="eastAsia" w:ascii="仿宋_GB2312" w:hAnsi="宋体" w:eastAsia="仿宋_GB2312"/>
          <w:color w:val="auto"/>
          <w:sz w:val="28"/>
          <w:szCs w:val="28"/>
          <w:highlight w:val="none"/>
        </w:rPr>
        <w:t>村农文旅产业的实际情况。项目所设定的绩效目标依据充分，符合客观事实；根据绩效目标设定的绩效指标较为明确。</w:t>
      </w:r>
    </w:p>
    <w:p>
      <w:pPr>
        <w:spacing w:line="300" w:lineRule="auto"/>
        <w:ind w:firstLine="560" w:firstLineChars="200"/>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2、项目在工程管理、后期投资运营管理等方面，基本符合国家政策要求。特别是项目资金严格实行专款专用，项目资金拨付和使用合法、规范。</w:t>
      </w:r>
    </w:p>
    <w:p>
      <w:pPr>
        <w:widowControl/>
        <w:spacing w:line="300" w:lineRule="auto"/>
        <w:ind w:firstLine="562" w:firstLineChars="200"/>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lang w:eastAsia="zh-CN"/>
        </w:rPr>
        <w:t>四</w:t>
      </w:r>
      <w:r>
        <w:rPr>
          <w:rFonts w:hint="eastAsia" w:ascii="宋体" w:hAnsi="宋体" w:cs="宋体"/>
          <w:b/>
          <w:bCs/>
          <w:color w:val="auto"/>
          <w:kern w:val="0"/>
          <w:sz w:val="28"/>
          <w:szCs w:val="28"/>
          <w:highlight w:val="none"/>
        </w:rPr>
        <w:t>、项目</w:t>
      </w:r>
      <w:r>
        <w:rPr>
          <w:rFonts w:hint="eastAsia" w:ascii="仿宋_GB2312"/>
          <w:b/>
          <w:color w:val="auto"/>
          <w:sz w:val="28"/>
          <w:szCs w:val="28"/>
          <w:highlight w:val="none"/>
        </w:rPr>
        <w:t>主要经验、存在的问题和建议</w:t>
      </w:r>
    </w:p>
    <w:p>
      <w:pPr>
        <w:widowControl/>
        <w:spacing w:line="300" w:lineRule="auto"/>
        <w:ind w:firstLine="540" w:firstLineChars="192"/>
        <w:jc w:val="left"/>
        <w:outlineLvl w:val="9"/>
        <w:rPr>
          <w:rFonts w:ascii="仿宋_GB2312"/>
          <w:b/>
          <w:color w:val="auto"/>
          <w:sz w:val="28"/>
          <w:szCs w:val="28"/>
          <w:highlight w:val="none"/>
        </w:rPr>
      </w:pPr>
      <w:r>
        <w:rPr>
          <w:rFonts w:hint="eastAsia" w:ascii="宋体" w:hAnsi="宋体" w:cs="宋体"/>
          <w:b/>
          <w:bCs/>
          <w:color w:val="auto"/>
          <w:kern w:val="0"/>
          <w:sz w:val="28"/>
          <w:szCs w:val="28"/>
          <w:highlight w:val="none"/>
        </w:rPr>
        <w:t>（一）</w:t>
      </w:r>
      <w:r>
        <w:rPr>
          <w:rFonts w:hint="eastAsia" w:ascii="仿宋_GB2312"/>
          <w:b/>
          <w:color w:val="auto"/>
          <w:sz w:val="28"/>
          <w:szCs w:val="28"/>
          <w:highlight w:val="none"/>
        </w:rPr>
        <w:t>主要经验和做法</w:t>
      </w:r>
    </w:p>
    <w:p>
      <w:pPr>
        <w:widowControl/>
        <w:spacing w:line="300" w:lineRule="auto"/>
        <w:ind w:firstLine="537" w:firstLineChars="192"/>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一是项目前期准备充分。在申报</w:t>
      </w:r>
      <w:r>
        <w:rPr>
          <w:rFonts w:hint="eastAsia" w:ascii="仿宋_GB2312" w:hAnsi="宋体" w:eastAsia="仿宋_GB2312"/>
          <w:color w:val="auto"/>
          <w:sz w:val="28"/>
          <w:szCs w:val="28"/>
          <w:highlight w:val="none"/>
          <w:lang w:val="en-US" w:eastAsia="zh-CN"/>
        </w:rPr>
        <w:t>赵寨村观云林果茶园项目</w:t>
      </w:r>
      <w:r>
        <w:rPr>
          <w:rFonts w:hint="eastAsia" w:ascii="仿宋_GB2312" w:hAnsi="宋体" w:eastAsia="仿宋_GB2312"/>
          <w:color w:val="auto"/>
          <w:sz w:val="28"/>
          <w:szCs w:val="28"/>
          <w:highlight w:val="none"/>
        </w:rPr>
        <w:t>前，</w:t>
      </w:r>
      <w:r>
        <w:rPr>
          <w:rFonts w:hint="eastAsia" w:ascii="仿宋_GB2312" w:hAnsi="宋体" w:eastAsia="仿宋_GB2312"/>
          <w:color w:val="auto"/>
          <w:sz w:val="28"/>
          <w:szCs w:val="28"/>
          <w:highlight w:val="none"/>
          <w:lang w:eastAsia="zh-CN"/>
        </w:rPr>
        <w:t>赵寨村</w:t>
      </w:r>
      <w:r>
        <w:rPr>
          <w:rFonts w:hint="eastAsia" w:ascii="仿宋_GB2312" w:hAnsi="宋体" w:eastAsia="仿宋_GB2312"/>
          <w:color w:val="auto"/>
          <w:sz w:val="28"/>
          <w:szCs w:val="28"/>
          <w:highlight w:val="none"/>
        </w:rPr>
        <w:t>严格执行了“四议两公开”的程序，让项目获得了群众极大的认同感，有广泛的群众基础。且经过“两上两下”的流程，让项目获得财政衔接资金符合国家的产业政策。</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二是临空区财金局高度重视项目绩效管理。对</w:t>
      </w:r>
      <w:r>
        <w:rPr>
          <w:rFonts w:hint="eastAsia" w:ascii="仿宋_GB2312" w:hAnsi="宋体" w:eastAsia="仿宋_GB2312"/>
          <w:color w:val="auto"/>
          <w:sz w:val="28"/>
          <w:szCs w:val="28"/>
          <w:highlight w:val="none"/>
          <w:lang w:eastAsia="zh-CN"/>
        </w:rPr>
        <w:t>沙窝乡</w:t>
      </w:r>
      <w:r>
        <w:rPr>
          <w:rFonts w:hint="eastAsia" w:ascii="仿宋_GB2312" w:hAnsi="宋体" w:eastAsia="仿宋_GB2312"/>
          <w:color w:val="auto"/>
          <w:sz w:val="28"/>
          <w:szCs w:val="28"/>
          <w:highlight w:val="none"/>
        </w:rPr>
        <w:t>上报的项目绩效进行审核和批复，并按规定进行公示，确保项目绩效设置比较合理、方便考核。</w:t>
      </w:r>
    </w:p>
    <w:p>
      <w:pPr>
        <w:widowControl/>
        <w:spacing w:line="300" w:lineRule="auto"/>
        <w:ind w:firstLine="537" w:firstLineChars="192"/>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三是项目单位按照《实施方案》的要求，规范实施程序。</w:t>
      </w:r>
      <w:r>
        <w:rPr>
          <w:rFonts w:hint="eastAsia" w:ascii="仿宋_GB2312" w:hAnsi="宋体" w:eastAsia="仿宋_GB2312"/>
          <w:color w:val="auto"/>
          <w:sz w:val="28"/>
          <w:szCs w:val="28"/>
          <w:highlight w:val="none"/>
          <w:lang w:val="en-US" w:eastAsia="zh-CN"/>
        </w:rPr>
        <w:t>赵寨村观云林果茶园项目</w:t>
      </w:r>
      <w:r>
        <w:rPr>
          <w:rFonts w:hint="eastAsia" w:ascii="仿宋_GB2312" w:hAnsi="宋体" w:eastAsia="仿宋_GB2312"/>
          <w:color w:val="auto"/>
          <w:sz w:val="28"/>
          <w:szCs w:val="28"/>
          <w:highlight w:val="none"/>
        </w:rPr>
        <w:t>得到区级批复后，</w:t>
      </w:r>
      <w:r>
        <w:rPr>
          <w:rFonts w:hint="eastAsia" w:ascii="仿宋_GB2312" w:hAnsi="宋体" w:eastAsia="仿宋_GB2312"/>
          <w:color w:val="auto"/>
          <w:sz w:val="28"/>
          <w:szCs w:val="28"/>
          <w:highlight w:val="none"/>
          <w:lang w:val="en-US" w:eastAsia="zh-CN"/>
        </w:rPr>
        <w:t>赵寨</w:t>
      </w:r>
      <w:r>
        <w:rPr>
          <w:rFonts w:hint="eastAsia" w:ascii="仿宋_GB2312" w:hAnsi="宋体" w:eastAsia="仿宋_GB2312"/>
          <w:color w:val="auto"/>
          <w:sz w:val="28"/>
          <w:szCs w:val="28"/>
          <w:highlight w:val="none"/>
        </w:rPr>
        <w:t>村立即启动项目招标，选择施工队伍。同时，为规范项目质量，对项目实行合同制</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监理制</w:t>
      </w:r>
      <w:r>
        <w:rPr>
          <w:rFonts w:hint="eastAsia" w:ascii="仿宋_GB2312" w:hAnsi="宋体" w:eastAsia="仿宋_GB2312"/>
          <w:color w:val="auto"/>
          <w:sz w:val="28"/>
          <w:szCs w:val="28"/>
          <w:highlight w:val="none"/>
        </w:rPr>
        <w:t>和竣工结算等管理制度。</w:t>
      </w:r>
    </w:p>
    <w:p>
      <w:pPr>
        <w:widowControl/>
        <w:spacing w:line="300" w:lineRule="auto"/>
        <w:ind w:firstLine="537" w:firstLineChars="192"/>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四是逐层申报项目资金。项目实施过程中，采取“村申请、乡审核、区主管部门申报、管委会批准”的方式，下拨项目资金，确保资金按进度拨付，按渠道使用。</w:t>
      </w:r>
    </w:p>
    <w:p>
      <w:pPr>
        <w:widowControl/>
        <w:spacing w:line="300" w:lineRule="auto"/>
        <w:ind w:firstLine="540" w:firstLineChars="192"/>
        <w:jc w:val="left"/>
        <w:outlineLvl w:val="9"/>
        <w:rPr>
          <w:rFonts w:ascii="宋体" w:hAnsi="宋体" w:cs="宋体"/>
          <w:b/>
          <w:bCs/>
          <w:color w:val="auto"/>
          <w:kern w:val="0"/>
          <w:sz w:val="28"/>
          <w:szCs w:val="28"/>
          <w:highlight w:val="none"/>
        </w:rPr>
      </w:pPr>
      <w:r>
        <w:rPr>
          <w:rFonts w:hint="eastAsia" w:ascii="仿宋_GB2312"/>
          <w:b/>
          <w:color w:val="auto"/>
          <w:sz w:val="28"/>
          <w:szCs w:val="28"/>
          <w:highlight w:val="none"/>
        </w:rPr>
        <w:t>（二）</w:t>
      </w:r>
      <w:r>
        <w:rPr>
          <w:rFonts w:hint="eastAsia" w:ascii="宋体" w:hAnsi="宋体" w:cs="宋体"/>
          <w:b/>
          <w:bCs/>
          <w:color w:val="auto"/>
          <w:kern w:val="0"/>
          <w:sz w:val="28"/>
          <w:szCs w:val="28"/>
          <w:highlight w:val="none"/>
        </w:rPr>
        <w:t>存在的主要问题</w:t>
      </w:r>
    </w:p>
    <w:p>
      <w:pPr>
        <w:widowControl/>
        <w:spacing w:line="300" w:lineRule="auto"/>
        <w:ind w:firstLine="537" w:firstLineChars="192"/>
        <w:jc w:val="left"/>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w:t>
      </w:r>
      <w:r>
        <w:rPr>
          <w:rFonts w:hint="eastAsia" w:ascii="仿宋_GB2312" w:eastAsia="仿宋_GB2312"/>
          <w:color w:val="auto"/>
          <w:sz w:val="28"/>
          <w:szCs w:val="28"/>
          <w:highlight w:val="none"/>
          <w:lang w:val="en-US" w:eastAsia="zh-CN"/>
        </w:rPr>
        <w:t>项目节约投资511,574.71元，申报投资的准确性存疑</w:t>
      </w:r>
      <w:r>
        <w:rPr>
          <w:rFonts w:hint="eastAsia" w:ascii="仿宋_GB2312" w:hAnsi="宋体" w:eastAsia="仿宋_GB2312"/>
          <w:color w:val="auto"/>
          <w:sz w:val="28"/>
          <w:szCs w:val="28"/>
          <w:highlight w:val="none"/>
          <w:lang w:val="en-US" w:eastAsia="zh-CN"/>
        </w:rPr>
        <w:t>。截至2024年3月31日，该项目申报总投资3,000,000.00元，其中：财政衔接资金2,500,000.00元，其他资金500,000.00元。而实际</w:t>
      </w:r>
      <w:r>
        <w:rPr>
          <w:rFonts w:hint="eastAsia" w:ascii="仿宋_GB2312" w:hAnsi="宋体" w:eastAsia="仿宋_GB2312"/>
          <w:color w:val="auto"/>
          <w:sz w:val="28"/>
          <w:szCs w:val="28"/>
          <w:highlight w:val="none"/>
        </w:rPr>
        <w:t>总投资</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488</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425</w:t>
      </w: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2</w:t>
      </w:r>
      <w:r>
        <w:rPr>
          <w:rFonts w:hint="eastAsia" w:ascii="仿宋_GB2312" w:hAnsi="宋体" w:eastAsia="仿宋_GB2312"/>
          <w:color w:val="auto"/>
          <w:sz w:val="28"/>
          <w:szCs w:val="28"/>
          <w:highlight w:val="none"/>
        </w:rPr>
        <w:t>9元</w:t>
      </w:r>
      <w:r>
        <w:rPr>
          <w:rFonts w:hint="eastAsia" w:ascii="仿宋_GB2312" w:hAnsi="宋体"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项目节约投资511,574.71元</w:t>
      </w:r>
      <w:r>
        <w:rPr>
          <w:rFonts w:hint="eastAsia" w:ascii="仿宋_GB2312" w:hAnsi="宋体" w:eastAsia="仿宋_GB2312"/>
          <w:color w:val="auto"/>
          <w:sz w:val="28"/>
          <w:szCs w:val="28"/>
          <w:highlight w:val="none"/>
          <w:lang w:val="en-US" w:eastAsia="zh-CN"/>
        </w:rPr>
        <w:t>。已经拨付财政衔接资金2,453,425.29元，暂未拨付46,574.71元。从投资完成情况及暂未拨付资金分析，除质保金35,000.00元需要支付外，其他资金11,574.71</w:t>
      </w:r>
      <w:r>
        <w:rPr>
          <w:rFonts w:hint="eastAsia" w:ascii="仿宋_GB2312" w:hAnsi="宋体" w:eastAsia="仿宋_GB2312"/>
          <w:color w:val="auto"/>
          <w:sz w:val="28"/>
          <w:szCs w:val="28"/>
          <w:highlight w:val="none"/>
        </w:rPr>
        <w:t>元可收回或调剂使用。</w:t>
      </w:r>
    </w:p>
    <w:p>
      <w:pPr>
        <w:spacing w:line="300" w:lineRule="auto"/>
        <w:ind w:firstLine="560" w:firstLineChars="200"/>
        <w:jc w:val="both"/>
        <w:rPr>
          <w:rFonts w:hint="eastAsia" w:ascii="仿宋_GB2312" w:hAnsi="宋体" w:eastAsia="仿宋_GB2312" w:cs="Times New Roman"/>
          <w:b w:val="0"/>
          <w:bCs w:val="0"/>
          <w:color w:val="auto"/>
          <w:kern w:val="2"/>
          <w:sz w:val="28"/>
          <w:szCs w:val="28"/>
          <w:highlight w:val="none"/>
          <w:lang w:val="en-US" w:eastAsia="zh-CN" w:bidi="ar-SA"/>
        </w:rPr>
      </w:pPr>
      <w:r>
        <w:rPr>
          <w:rFonts w:hint="eastAsia" w:ascii="仿宋_GB2312" w:eastAsia="仿宋_GB2312"/>
          <w:color w:val="auto"/>
          <w:sz w:val="28"/>
          <w:szCs w:val="28"/>
          <w:highlight w:val="none"/>
          <w:lang w:val="en-US" w:eastAsia="zh-CN"/>
        </w:rPr>
        <w:t>注：签订合同的投资额258.22万元，其中：</w:t>
      </w:r>
      <w:r>
        <w:rPr>
          <w:rFonts w:hint="eastAsia" w:ascii="仿宋_GB2312" w:hAnsi="宋体" w:eastAsia="仿宋_GB2312"/>
          <w:color w:val="auto"/>
          <w:sz w:val="28"/>
          <w:szCs w:val="28"/>
          <w:highlight w:val="none"/>
          <w:lang w:val="en-US" w:eastAsia="zh-CN"/>
        </w:rPr>
        <w:t>湖北吉佳福建设有限公司投资额129.50万元，鄂州市骉探建材贸易有限公司投资额8.72万元（合同只有单价270元/小时，无总价。在此取实际金额），鄂州市协盈种养殖农民专业合作社合同价120.00万元。</w:t>
      </w:r>
    </w:p>
    <w:p>
      <w:pPr>
        <w:numPr>
          <w:ilvl w:val="0"/>
          <w:numId w:val="0"/>
        </w:numPr>
        <w:ind w:firstLine="560" w:firstLineChars="200"/>
        <w:rPr>
          <w:rFonts w:hint="eastAsia" w:ascii="仿宋_GB2312" w:hAnsi="宋体" w:eastAsia="仿宋_GB2312" w:cs="Times New Roman"/>
          <w:b w:val="0"/>
          <w:bCs w:val="0"/>
          <w:color w:val="auto"/>
          <w:kern w:val="2"/>
          <w:sz w:val="28"/>
          <w:szCs w:val="28"/>
          <w:highlight w:val="none"/>
          <w:lang w:val="en-US" w:eastAsia="zh-CN" w:bidi="ar-SA"/>
        </w:rPr>
      </w:pPr>
      <w:r>
        <w:rPr>
          <w:rFonts w:hint="eastAsia" w:ascii="仿宋_GB2312" w:hAnsi="宋体" w:eastAsia="仿宋_GB2312" w:cs="Times New Roman"/>
          <w:b w:val="0"/>
          <w:bCs w:val="0"/>
          <w:color w:val="auto"/>
          <w:kern w:val="2"/>
          <w:sz w:val="28"/>
          <w:szCs w:val="28"/>
          <w:highlight w:val="none"/>
          <w:lang w:val="en-US" w:eastAsia="zh-CN" w:bidi="ar-SA"/>
        </w:rPr>
        <w:t>2、未按合同约定预留湖北吉佳福建设有限公司质保金38,334.00元。村与湖北吉佳福建设有限公司签订的施工合同约定：预留质保金3%。而湖北吉佳福建设有限公司施工工程审定价款1,277,799.88元，该工程款已经全额拨付，未见预留质保金38,334.00元。</w:t>
      </w:r>
    </w:p>
    <w:p>
      <w:pPr>
        <w:numPr>
          <w:ilvl w:val="0"/>
          <w:numId w:val="0"/>
        </w:numPr>
        <w:ind w:firstLine="560" w:firstLineChars="200"/>
        <w:rPr>
          <w:rFonts w:hint="default" w:ascii="仿宋_GB2312" w:hAnsi="宋体" w:eastAsia="仿宋_GB2312" w:cs="Times New Roman"/>
          <w:b w:val="0"/>
          <w:bCs w:val="0"/>
          <w:color w:val="auto"/>
          <w:kern w:val="2"/>
          <w:sz w:val="28"/>
          <w:szCs w:val="28"/>
          <w:highlight w:val="none"/>
          <w:lang w:val="en-US" w:eastAsia="zh-CN" w:bidi="ar-SA"/>
        </w:rPr>
      </w:pPr>
      <w:r>
        <w:rPr>
          <w:rFonts w:hint="default" w:ascii="仿宋_GB2312" w:hAnsi="宋体" w:eastAsia="仿宋_GB2312" w:cs="Times New Roman"/>
          <w:b w:val="0"/>
          <w:bCs w:val="0"/>
          <w:color w:val="auto"/>
          <w:kern w:val="2"/>
          <w:sz w:val="28"/>
          <w:szCs w:val="28"/>
          <w:highlight w:val="none"/>
          <w:lang w:val="en-US" w:eastAsia="zh-CN" w:bidi="ar-SA"/>
        </w:rPr>
        <w:t>3、</w:t>
      </w:r>
      <w:r>
        <w:rPr>
          <w:rFonts w:hint="eastAsia" w:ascii="仿宋_GB2312" w:hAnsi="宋体" w:eastAsia="仿宋_GB2312" w:cs="Times New Roman"/>
          <w:b w:val="0"/>
          <w:bCs w:val="0"/>
          <w:color w:val="auto"/>
          <w:kern w:val="2"/>
          <w:sz w:val="28"/>
          <w:szCs w:val="28"/>
          <w:highlight w:val="none"/>
          <w:lang w:val="en-US" w:eastAsia="zh-CN" w:bidi="ar-SA"/>
        </w:rPr>
        <w:t>未按照合同时间约定及时收取保证金。合同约定：签订合同当日，乙方应支付租赁保证金，保证金为100,000.00元。</w:t>
      </w:r>
    </w:p>
    <w:p>
      <w:pPr>
        <w:ind w:firstLine="560" w:firstLineChars="200"/>
        <w:rPr>
          <w:rFonts w:hint="default"/>
          <w:color w:val="auto"/>
          <w:highlight w:val="none"/>
          <w:lang w:val="en-US" w:eastAsia="zh-CN"/>
        </w:rPr>
      </w:pPr>
      <w:r>
        <w:rPr>
          <w:rFonts w:hint="eastAsia" w:ascii="仿宋_GB2312" w:hAnsi="宋体" w:eastAsia="仿宋_GB2312" w:cs="Times New Roman"/>
          <w:b w:val="0"/>
          <w:bCs w:val="0"/>
          <w:color w:val="auto"/>
          <w:kern w:val="2"/>
          <w:sz w:val="28"/>
          <w:szCs w:val="28"/>
          <w:highlight w:val="none"/>
          <w:lang w:val="en-US" w:eastAsia="zh-CN" w:bidi="ar-SA"/>
        </w:rPr>
        <w:t>注：2024年3月28日保证金已进账。</w:t>
      </w:r>
    </w:p>
    <w:p>
      <w:pPr>
        <w:widowControl/>
        <w:spacing w:line="300" w:lineRule="auto"/>
        <w:ind w:firstLine="562" w:firstLineChars="200"/>
        <w:jc w:val="left"/>
        <w:outlineLvl w:val="9"/>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（三）建议及改进措施</w:t>
      </w:r>
    </w:p>
    <w:p>
      <w:pPr>
        <w:widowControl/>
        <w:spacing w:line="300" w:lineRule="auto"/>
        <w:ind w:firstLine="560" w:firstLineChars="200"/>
        <w:jc w:val="left"/>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w:t>
      </w:r>
      <w:r>
        <w:rPr>
          <w:rFonts w:hint="eastAsia" w:ascii="仿宋_GB2312" w:hAnsi="宋体" w:eastAsia="仿宋_GB2312"/>
          <w:color w:val="auto"/>
          <w:sz w:val="28"/>
          <w:szCs w:val="28"/>
          <w:highlight w:val="none"/>
        </w:rPr>
        <w:t>核实项目所需投资，如果项目全部完工，暂不需要财政衔接资金，区财金局可按程序调剂使用，提高资金使用效率。</w:t>
      </w:r>
    </w:p>
    <w:p>
      <w:pPr>
        <w:widowControl/>
        <w:spacing w:line="300" w:lineRule="auto"/>
        <w:ind w:firstLine="560" w:firstLineChars="200"/>
        <w:jc w:val="left"/>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2、湖北吉佳福建设有限公司和鄂州市骉探建材贸易有限公司不属于同一公司，审核报告金额应分别审核或施工金额分开核算，建议金额分开审核或列支，确保金额的对应性和准确性。</w:t>
      </w:r>
    </w:p>
    <w:p>
      <w:pPr>
        <w:widowControl/>
        <w:spacing w:line="300" w:lineRule="auto"/>
        <w:ind w:firstLine="560" w:firstLineChars="200"/>
        <w:jc w:val="left"/>
        <w:outlineLvl w:val="9"/>
        <w:rPr>
          <w:rFonts w:hint="eastAsia" w:ascii="仿宋_GB2312" w:hAnsi="宋体" w:eastAsia="仿宋_GB2312" w:cs="Times New Roman"/>
          <w:b w:val="0"/>
          <w:bCs w:val="0"/>
          <w:color w:val="auto"/>
          <w:kern w:val="2"/>
          <w:sz w:val="28"/>
          <w:szCs w:val="28"/>
          <w:highlight w:val="none"/>
          <w:lang w:val="en-US" w:eastAsia="zh-CN" w:bidi="ar-SA"/>
        </w:rPr>
      </w:pPr>
      <w:r>
        <w:rPr>
          <w:rFonts w:hint="eastAsia" w:ascii="仿宋_GB2312" w:hAnsi="宋体" w:eastAsia="仿宋_GB2312" w:cs="Times New Roman"/>
          <w:b w:val="0"/>
          <w:bCs w:val="0"/>
          <w:color w:val="auto"/>
          <w:kern w:val="2"/>
          <w:sz w:val="28"/>
          <w:szCs w:val="28"/>
          <w:highlight w:val="none"/>
          <w:lang w:val="en-US" w:eastAsia="zh-CN" w:bidi="ar-SA"/>
        </w:rPr>
        <w:t>3、按合同约定拨付工程款，预留工程质保金，确保工程质量。</w:t>
      </w:r>
    </w:p>
    <w:p>
      <w:pPr>
        <w:pStyle w:val="2"/>
        <w:jc w:val="both"/>
        <w:outlineLvl w:val="9"/>
        <w:rPr>
          <w:rFonts w:hint="eastAsia" w:ascii="仿宋_GB2312" w:hAnsi="宋体" w:eastAsia="仿宋_GB2312" w:cs="Times New Roman"/>
          <w:b w:val="0"/>
          <w:bCs w:val="0"/>
          <w:color w:val="auto"/>
          <w:kern w:val="2"/>
          <w:sz w:val="28"/>
          <w:szCs w:val="28"/>
          <w:highlight w:val="none"/>
          <w:lang w:val="en-US" w:eastAsia="zh-CN" w:bidi="ar-SA"/>
        </w:rPr>
      </w:pPr>
    </w:p>
    <w:p>
      <w:pPr>
        <w:spacing w:line="300" w:lineRule="auto"/>
        <w:jc w:val="center"/>
        <w:rPr>
          <w:rFonts w:hint="eastAsia" w:ascii="ˎ̥" w:hAnsi="ˎ̥"/>
          <w:b/>
          <w:color w:val="auto"/>
          <w:sz w:val="36"/>
          <w:szCs w:val="36"/>
          <w:highlight w:val="none"/>
          <w:lang w:eastAsia="zh-CN"/>
        </w:rPr>
      </w:pPr>
    </w:p>
    <w:p>
      <w:pPr>
        <w:widowControl/>
        <w:spacing w:line="300" w:lineRule="auto"/>
        <w:ind w:firstLine="2240" w:firstLineChars="800"/>
        <w:jc w:val="left"/>
        <w:rPr>
          <w:rFonts w:hint="eastAsia" w:ascii="仿宋_GB2312" w:hAnsi="宋体" w:eastAsia="仿宋_GB2312" w:cs="Times New Roman"/>
          <w:color w:val="auto"/>
          <w:sz w:val="28"/>
          <w:szCs w:val="28"/>
          <w:highlight w:val="none"/>
          <w:lang w:val="en-US" w:eastAsia="zh-CN"/>
        </w:rPr>
      </w:pPr>
    </w:p>
    <w:p>
      <w:pPr>
        <w:widowControl/>
        <w:spacing w:line="300" w:lineRule="auto"/>
        <w:ind w:firstLine="3920" w:firstLineChars="1400"/>
        <w:jc w:val="left"/>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湖北众信会计师事务有限公司</w:t>
      </w:r>
    </w:p>
    <w:p>
      <w:pPr>
        <w:widowControl/>
        <w:spacing w:line="300" w:lineRule="auto"/>
        <w:ind w:firstLine="4760" w:firstLineChars="1700"/>
        <w:jc w:val="left"/>
        <w:rPr>
          <w:color w:val="auto"/>
          <w:highlight w:val="none"/>
        </w:rPr>
      </w:pPr>
      <w:r>
        <w:rPr>
          <w:rFonts w:hint="eastAsia" w:ascii="仿宋_GB2312" w:hAnsi="宋体" w:eastAsia="仿宋_GB2312" w:cs="Times New Roman"/>
          <w:color w:val="auto"/>
          <w:sz w:val="28"/>
          <w:szCs w:val="28"/>
          <w:highlight w:val="none"/>
          <w:lang w:val="en-US" w:eastAsia="zh-CN"/>
        </w:rPr>
        <w:t>2024年3月31日</w:t>
      </w:r>
    </w:p>
    <w:p>
      <w:pPr>
        <w:pStyle w:val="2"/>
        <w:tabs>
          <w:tab w:val="left" w:pos="276"/>
        </w:tabs>
        <w:jc w:val="left"/>
        <w:rPr>
          <w:rFonts w:hint="eastAsia" w:eastAsiaTheme="majorEastAsia"/>
          <w:lang w:eastAsia="zh-CN"/>
        </w:rPr>
      </w:pPr>
    </w:p>
    <w:sectPr>
      <w:headerReference r:id="rId7" w:type="default"/>
      <w:footerReference r:id="rId8"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firstLine="4140" w:firstLineChars="2300"/>
    </w:pPr>
    <w:r>
      <w:rPr>
        <w:rFonts w:hint="eastAsia"/>
        <w:lang w:val="en-US" w:eastAsia="zh-CN"/>
      </w:rPr>
      <w:t>赵寨</w:t>
    </w:r>
    <w:r>
      <w:rPr>
        <w:rFonts w:hint="eastAsia"/>
      </w:rPr>
      <w:t>村红道驿站项目乡村振兴衔接资金绩效评价报告</w:t>
    </w:r>
  </w:p>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4140" w:firstLineChars="2300"/>
    </w:pPr>
    <w:bookmarkStart w:id="2" w:name="_GoBack"/>
    <w:bookmarkEnd w:id="2"/>
    <w:r>
      <w:rPr>
        <w:rFonts w:hint="eastAsia"/>
        <w:lang w:val="en-US" w:eastAsia="zh-CN"/>
      </w:rPr>
      <w:t>赵寨村观云林果茶园</w:t>
    </w:r>
    <w:r>
      <w:rPr>
        <w:rFonts w:hint="eastAsia"/>
      </w:rPr>
      <w:t>项目</w:t>
    </w:r>
    <w:r>
      <w:rPr>
        <w:rFonts w:hint="eastAsia"/>
        <w:lang w:val="en-US" w:eastAsia="zh-CN"/>
      </w:rPr>
      <w:t>财政</w:t>
    </w:r>
    <w:r>
      <w:rPr>
        <w:rFonts w:hint="eastAsia"/>
      </w:rPr>
      <w:t>衔接资金绩效评价报告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000000"/>
    <w:rsid w:val="03A762C0"/>
    <w:rsid w:val="09A137B2"/>
    <w:rsid w:val="0A0B50CF"/>
    <w:rsid w:val="151439D2"/>
    <w:rsid w:val="1A957DB0"/>
    <w:rsid w:val="1D1A3B4F"/>
    <w:rsid w:val="32326DEE"/>
    <w:rsid w:val="33CA19D4"/>
    <w:rsid w:val="34931DC5"/>
    <w:rsid w:val="3902751A"/>
    <w:rsid w:val="3A4B7A4D"/>
    <w:rsid w:val="3AF61300"/>
    <w:rsid w:val="3BD827B4"/>
    <w:rsid w:val="3D047ECF"/>
    <w:rsid w:val="434339AE"/>
    <w:rsid w:val="48074B4D"/>
    <w:rsid w:val="48253225"/>
    <w:rsid w:val="4A6F584C"/>
    <w:rsid w:val="4AA448D5"/>
    <w:rsid w:val="4B865D88"/>
    <w:rsid w:val="4C4D2D4A"/>
    <w:rsid w:val="4DC1579E"/>
    <w:rsid w:val="54DC2EBD"/>
    <w:rsid w:val="56B72413"/>
    <w:rsid w:val="5BD43BFF"/>
    <w:rsid w:val="5BF31218"/>
    <w:rsid w:val="5ED03A93"/>
    <w:rsid w:val="60E206CF"/>
    <w:rsid w:val="628E1C9B"/>
    <w:rsid w:val="63367C3C"/>
    <w:rsid w:val="6C0134DD"/>
    <w:rsid w:val="702C664F"/>
    <w:rsid w:val="72807126"/>
    <w:rsid w:val="72E43211"/>
    <w:rsid w:val="72E871A5"/>
    <w:rsid w:val="76277FE4"/>
    <w:rsid w:val="76A71125"/>
    <w:rsid w:val="77FE6B23"/>
    <w:rsid w:val="78E55F35"/>
    <w:rsid w:val="7CE71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rFonts w:ascii="Calibri" w:hAnsi="Calibri"/>
      <w:b/>
      <w:bCs/>
      <w:kern w:val="44"/>
      <w:sz w:val="44"/>
      <w:szCs w:val="44"/>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2024-04-13T12:08:00Z</dcterms:created>
  <dc:creator>HUAWEI</dc:creator>
  <cp:lastModifiedBy>Ou</cp:lastModifiedBy>
  <dcterms:modified xsi:type="dcterms:W3CDTF">2024-04-14T04:35:56Z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77BBE43697264530AE85FD2BF9E3FB59_12</vt:lpwstr>
  </property>
</Properties>
</file>