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5232">
      <w:pPr>
        <w:widowControl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附件1-2</w:t>
      </w:r>
    </w:p>
    <w:p w14:paraId="7784AF3B"/>
    <w:p w14:paraId="2E2E323C"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鄂州市临空经济区房屋征收补偿安置办公室</w:t>
      </w:r>
    </w:p>
    <w:p w14:paraId="1082AD4C"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ascii="方正小标宋简体" w:hAnsi="Times New Roman" w:eastAsia="方正小标宋简体"/>
          <w:sz w:val="44"/>
          <w:szCs w:val="44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年预算编报说明</w:t>
      </w:r>
    </w:p>
    <w:p w14:paraId="7FF80808">
      <w:pPr>
        <w:pStyle w:val="5"/>
        <w:spacing w:line="240" w:lineRule="auto"/>
      </w:pPr>
    </w:p>
    <w:p w14:paraId="2B09BD90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本预算草案根据《中华人民共和国预算法》、我部门“三定”方案规定的职能和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仿宋_GB2312" w:hAnsi="宋体" w:eastAsia="仿宋_GB2312"/>
          <w:sz w:val="32"/>
          <w:szCs w:val="32"/>
        </w:rPr>
        <w:t>年主要工作任务编制。草案所列内容准确、真实、完整。我部门将根据审查批复的预算做好执行工作，对预算执行结果负责，并依法接受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鄂城区</w:t>
      </w:r>
      <w:r>
        <w:rPr>
          <w:rFonts w:hint="eastAsia" w:ascii="仿宋_GB2312" w:hAnsi="宋体" w:eastAsia="仿宋_GB2312"/>
          <w:sz w:val="32"/>
          <w:szCs w:val="32"/>
        </w:rPr>
        <w:t>人大审查监督。</w:t>
      </w:r>
    </w:p>
    <w:p w14:paraId="5D997947">
      <w:pPr>
        <w:pStyle w:val="5"/>
        <w:spacing w:line="240" w:lineRule="auto"/>
      </w:pPr>
    </w:p>
    <w:p w14:paraId="0949826B">
      <w:pPr>
        <w:pStyle w:val="5"/>
        <w:spacing w:line="240" w:lineRule="auto"/>
      </w:pPr>
    </w:p>
    <w:p w14:paraId="3E9A5DFC">
      <w:pPr>
        <w:pStyle w:val="6"/>
        <w:spacing w:line="240" w:lineRule="auto"/>
        <w:ind w:left="2520" w:right="630"/>
      </w:pPr>
      <w:r>
        <w:rPr>
          <w:rFonts w:hint="eastAsia"/>
        </w:rPr>
        <w:t>部门法定代表人签字：</w:t>
      </w:r>
      <w:r>
        <w:rPr>
          <w:rFonts w:hint="eastAsia"/>
        </w:rPr>
        <w:tab/>
      </w:r>
    </w:p>
    <w:p w14:paraId="2CB9DF2A">
      <w:pPr>
        <w:pStyle w:val="6"/>
        <w:spacing w:line="240" w:lineRule="auto"/>
        <w:ind w:left="2520" w:right="630"/>
      </w:pPr>
    </w:p>
    <w:p w14:paraId="2E75CE32">
      <w:pPr>
        <w:jc w:val="center"/>
      </w:pPr>
    </w:p>
    <w:p w14:paraId="133D04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</w:rPr>
        <w:t>一、部门概况</w:t>
      </w:r>
    </w:p>
    <w:p w14:paraId="0D772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40"/>
        </w:rPr>
        <w:t>从单位构成看，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临空经济区房屋征收补偿安置办公室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部门决算由实行独立核算的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临空经济区房屋征收补偿安置办公室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本级决算组成。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40"/>
        </w:rPr>
        <w:t>征收办负责编制临空经济区全年征迁计划；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40"/>
        </w:rPr>
        <w:t>负责临空经济区房屋征收安置工作；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40"/>
        </w:rPr>
        <w:t>征迁安置档案管理。</w:t>
      </w:r>
    </w:p>
    <w:p w14:paraId="4D6E424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部门年度（或中长期）工作重点</w:t>
      </w:r>
    </w:p>
    <w:p w14:paraId="73EADA90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202</w:t>
      </w: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年，本部门重点项目绩效目标情况如下：预算支出</w:t>
      </w: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131.8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万元全面实施绩效目标管理，设置了部门整体支出绩效目标。</w:t>
      </w:r>
    </w:p>
    <w:p w14:paraId="0DE79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重点项目：1、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档案管理设置了部门长期目标，建立全区征收安置大数据库。</w:t>
      </w:r>
    </w:p>
    <w:p w14:paraId="659DF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征收安置系统日常维护服务项目设置了部门长期目标，优化征收流程及相关标准，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有效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“制定年度计划、组织进场评估、签订征收协议、拨付专项资金、实施房屋拆除、组织安置分配”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等征收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流程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闭环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。</w:t>
      </w:r>
    </w:p>
    <w:p w14:paraId="6C3E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法律咨询服务项目设置了部门长期目标，依法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依规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征收政策解读等。</w:t>
      </w:r>
    </w:p>
    <w:p w14:paraId="418332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三、收支预算安排情况</w:t>
      </w:r>
    </w:p>
    <w:p w14:paraId="1EE867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Times New Roman" w:hAnsi="Times New Roman" w:eastAsia="仿宋_GB2312" w:cs="Times New Roman"/>
          <w:sz w:val="32"/>
          <w:szCs w:val="40"/>
        </w:rPr>
      </w:pPr>
      <w:r>
        <w:rPr>
          <w:rFonts w:hint="eastAsia" w:ascii="楷体_GB2312" w:eastAsia="楷体_GB2312"/>
          <w:b w:val="0"/>
          <w:bCs w:val="0"/>
        </w:rPr>
        <w:t>（一）部门人员安排情况</w:t>
      </w:r>
    </w:p>
    <w:p w14:paraId="1ECA5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临空经济区房屋征收补偿安置办公室下设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个业务科室：征管科；财务科；安置办公室。</w:t>
      </w:r>
    </w:p>
    <w:p w14:paraId="309405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（二）部门财政拨款收支预算安排情况</w:t>
      </w:r>
    </w:p>
    <w:p w14:paraId="40E230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sz w:val="32"/>
          <w:szCs w:val="40"/>
        </w:rPr>
        <w:t>预算收入情况：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202</w:t>
      </w: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年本年收入预计为</w:t>
      </w: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131.8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万元，比上年减少</w:t>
      </w: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63.20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万元，下降</w:t>
      </w: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32.41</w:t>
      </w:r>
      <w:r>
        <w:rPr>
          <w:rFonts w:hint="default" w:ascii="Times New Roman" w:hAnsi="Times New Roman" w:eastAsia="仿宋_GB2312" w:cs="Times New Roman"/>
          <w:sz w:val="32"/>
          <w:szCs w:val="40"/>
        </w:rPr>
        <w:t>%。一般公共预算财政拨款收入</w:t>
      </w: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131.8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万元，占收入的100%。</w:t>
      </w:r>
    </w:p>
    <w:p w14:paraId="79D7B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cs="Times New Roman"/>
          <w:sz w:val="32"/>
          <w:szCs w:val="40"/>
          <w:lang w:val="en-US" w:eastAsia="zh-CN"/>
        </w:rPr>
        <w:t>2、</w:t>
      </w:r>
      <w:r>
        <w:rPr>
          <w:rFonts w:hint="default" w:ascii="楷体_GB2312" w:hAnsi="楷体_GB2312" w:eastAsia="楷体_GB2312" w:cs="楷体_GB2312"/>
          <w:sz w:val="32"/>
          <w:szCs w:val="40"/>
        </w:rPr>
        <w:t>预算支出情况：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年本年支出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131.8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万元，比上年减少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63.2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32.41</w:t>
      </w:r>
      <w:r>
        <w:rPr>
          <w:rFonts w:hint="default" w:ascii="Times New Roman" w:hAnsi="Times New Roman" w:eastAsia="仿宋_GB2312" w:cs="Times New Roman"/>
          <w:sz w:val="32"/>
          <w:szCs w:val="40"/>
        </w:rPr>
        <w:t>%。其中：基本支出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万元，占总支出的3.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40"/>
        </w:rPr>
        <w:t>%；项目支出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126.8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万元，占总支出的96.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%。</w:t>
      </w:r>
    </w:p>
    <w:p w14:paraId="34F32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支出增减原因：202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减少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信息一体化软件升级服务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和文明创建项目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 w14:paraId="461731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（三）部门财务收支预算安排情况</w:t>
      </w:r>
    </w:p>
    <w:p w14:paraId="4B82A3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仿宋_GB2312"/>
        </w:rPr>
      </w:pPr>
      <w:r>
        <w:rPr>
          <w:rFonts w:hint="eastAsia" w:ascii="仿宋_GB2312"/>
        </w:rPr>
        <w:t>反映部门财务收支预算情况。收入部分重点对事业收入、经营收入、其他收入等异动情况进行说明；支出部分重点对使用非财政性资金安排的项目支出进行说明。</w:t>
      </w:r>
    </w:p>
    <w:p w14:paraId="69B1C1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（四）部门“三公”经费财政拨款预算情况</w:t>
      </w:r>
    </w:p>
    <w:p w14:paraId="3089F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年财政拨款资金安排“三公”经费预算0万元，其中：因公出国（境）费0万元，公务用车购置费 0万元，公务用车运行费0万元，公务接待费0万元。较202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年增加了0万元。</w:t>
      </w:r>
    </w:p>
    <w:p w14:paraId="39702E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楷体_GB2312" w:eastAsia="楷体_GB2312"/>
          <w:b w:val="0"/>
          <w:bCs w:val="0"/>
        </w:rPr>
      </w:pPr>
      <w:r>
        <w:rPr>
          <w:rFonts w:hint="eastAsia" w:ascii="楷体_GB2312" w:eastAsia="楷体_GB2312"/>
          <w:b w:val="0"/>
          <w:bCs w:val="0"/>
        </w:rPr>
        <w:t>（五）对区转移支付预算安排情况</w:t>
      </w:r>
    </w:p>
    <w:p w14:paraId="63543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年，本部门重点项目绩效目标情况如下：预算支出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131.8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万元全面实施绩效目标管理，设置了部门整体支出绩效目标。</w:t>
      </w:r>
    </w:p>
    <w:p w14:paraId="4A13C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重点项目：</w:t>
      </w:r>
    </w:p>
    <w:p w14:paraId="5F36E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档案管理设置了部门长期目标，建立全区征收安置大数据库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纸质版一户一档入档案馆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。</w:t>
      </w:r>
    </w:p>
    <w:p w14:paraId="69E3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征收安置系统日常维护服务项目设置了部门长期目标，优化征收流程及相关标准，形成“制定年度计划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等征迁工作流程。</w:t>
      </w:r>
    </w:p>
    <w:p w14:paraId="0A213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法律咨询服务项目设置了部门长期目标，依法征收政策解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，法律咨询、宣传，文书审核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40"/>
        </w:rPr>
        <w:t>等。项目支出开展绩效评价，评价结果依法公开。</w:t>
      </w:r>
    </w:p>
    <w:p w14:paraId="1A1481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四、其他需要说明的事项</w:t>
      </w:r>
    </w:p>
    <w:p w14:paraId="2DD867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Calibri" w:hAnsi="Calibri" w:eastAsia="宋体"/>
        </w:rPr>
      </w:pPr>
      <w:r>
        <w:rPr>
          <w:rFonts w:hint="eastAsia" w:ascii="宋体" w:hAnsi="宋体"/>
        </w:rPr>
        <w:t>如：非税收入征收预计数异动情况；政府采购预算、新增资产配置预算等需要特别说明的问题；使用行政事业经费弥补医疗费不足的测算安排情况。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535BC"/>
    <w:multiLevelType w:val="singleLevel"/>
    <w:tmpl w:val="3EA535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6B"/>
    <w:rsid w:val="005D0B05"/>
    <w:rsid w:val="006C266B"/>
    <w:rsid w:val="009A5AC4"/>
    <w:rsid w:val="0D0D4F87"/>
    <w:rsid w:val="54DA78DC"/>
    <w:rsid w:val="55F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Times New Roman" w:hAnsi="Times New Roman" w:eastAsia="仿宋_GB2312" w:cs="宋体"/>
      <w:sz w:val="32"/>
      <w:szCs w:val="20"/>
    </w:rPr>
  </w:style>
  <w:style w:type="paragraph" w:customStyle="1" w:styleId="6">
    <w:name w:val="落款"/>
    <w:basedOn w:val="1"/>
    <w:qFormat/>
    <w:uiPriority w:val="0"/>
    <w:pPr>
      <w:spacing w:line="560" w:lineRule="exact"/>
      <w:ind w:left="1200" w:leftChars="1200" w:right="300" w:rightChars="300"/>
      <w:jc w:val="center"/>
    </w:pPr>
    <w:rPr>
      <w:rFonts w:ascii="Times New Roman" w:hAnsi="Times New Roman" w:eastAsia="仿宋_GB2312" w:cs="Times New Roman"/>
      <w:sz w:val="32"/>
      <w:szCs w:val="24"/>
    </w:rPr>
  </w:style>
  <w:style w:type="character" w:customStyle="1" w:styleId="7">
    <w:name w:val="标题 字符"/>
    <w:basedOn w:val="4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744</Words>
  <Characters>753</Characters>
  <Lines>5</Lines>
  <Paragraphs>1</Paragraphs>
  <TotalTime>28</TotalTime>
  <ScaleCrop>false</ScaleCrop>
  <LinksUpToDate>false</LinksUpToDate>
  <CharactersWithSpaces>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2025-10-08T05:45:00Z</dcterms:created>
  <dc:creator>小冬</dc:creator>
  <cp:lastModifiedBy>ＣＯＯＬ</cp:lastModifiedBy>
  <dcterms:modified xsi:type="dcterms:W3CDTF">2026-01-14T01:37:09Z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eyJoZGlkIjoiZDBiMzhlNDg4YzQ0YzJhZDYxYjA3NGU4M2I2MTViZTUiLCJ1c2VySWQiOiIxMTU3MDI4Njg5In0=</vt:lpwstr>
  </property>
  <property fmtid="{D5CDD505-2E9C-101B-9397-08002B2CF9AE}" pid="3" name="KSOProductBuildVer">
    <vt:lpwstr>2052-12.1.0.24034</vt:lpwstr>
  </property>
  <property fmtid="{D5CDD505-2E9C-101B-9397-08002B2CF9AE}" pid="4" name="ICV">
    <vt:lpwstr>E8A0CFF710034102B067CC671352A5D0_12</vt:lpwstr>
  </property>
</Properties>
</file>