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B5E625">
      <w:pPr>
        <w:spacing w:line="600" w:lineRule="exact"/>
        <w:jc w:val="left"/>
        <w:rPr>
          <w:rFonts w:hint="eastAsia" w:ascii="黑体" w:hAnsi="黑体" w:eastAsia="黑体" w:cs="仿宋_GB2312"/>
          <w:color w:val="auto"/>
          <w:sz w:val="32"/>
          <w:szCs w:val="32"/>
          <w:highlight w:val="none"/>
          <w:u w:val="none"/>
        </w:rPr>
      </w:pPr>
      <w:r>
        <w:rPr>
          <w:rFonts w:hint="eastAsia" w:ascii="黑体" w:hAnsi="黑体" w:eastAsia="黑体" w:cs="仿宋_GB2312"/>
          <w:color w:val="auto"/>
          <w:sz w:val="32"/>
          <w:szCs w:val="32"/>
          <w:highlight w:val="none"/>
          <w:u w:val="none"/>
        </w:rPr>
        <w:t>附件1-3</w:t>
      </w:r>
    </w:p>
    <w:p w14:paraId="214A5941">
      <w:pPr>
        <w:spacing w:line="600" w:lineRule="exact"/>
        <w:ind w:firstLine="440" w:firstLineChars="100"/>
        <w:jc w:val="center"/>
        <w:rPr>
          <w:rFonts w:ascii="方正小标宋简体" w:hAnsi="华文中宋" w:eastAsia="方正小标宋简体" w:cs="方正小标宋简体"/>
          <w:color w:val="auto"/>
          <w:sz w:val="44"/>
          <w:szCs w:val="44"/>
          <w:highlight w:val="none"/>
          <w:u w:val="none"/>
        </w:rPr>
      </w:pPr>
    </w:p>
    <w:p w14:paraId="1FF2817C">
      <w:pPr>
        <w:spacing w:line="600" w:lineRule="exact"/>
        <w:ind w:firstLine="440" w:firstLineChars="100"/>
        <w:jc w:val="center"/>
        <w:rPr>
          <w:rFonts w:hint="eastAsia" w:ascii="方正小标宋简体" w:hAnsi="华文中宋" w:eastAsia="方正小标宋简体" w:cs="方正小标宋简体"/>
          <w:color w:val="auto"/>
          <w:sz w:val="44"/>
          <w:szCs w:val="44"/>
          <w:highlight w:val="none"/>
          <w:u w:val="none"/>
        </w:rPr>
      </w:pPr>
      <w:r>
        <w:rPr>
          <w:rFonts w:hint="eastAsia" w:ascii="方正小标宋简体" w:hAnsi="华文中宋" w:eastAsia="方正小标宋简体" w:cs="方正小标宋简体"/>
          <w:color w:val="auto"/>
          <w:sz w:val="44"/>
          <w:szCs w:val="44"/>
          <w:highlight w:val="none"/>
          <w:u w:val="none"/>
          <w:lang w:eastAsia="zh-CN"/>
        </w:rPr>
        <w:t>2026</w:t>
      </w:r>
      <w:r>
        <w:rPr>
          <w:rFonts w:hint="eastAsia" w:ascii="方正小标宋简体" w:hAnsi="华文中宋" w:eastAsia="方正小标宋简体" w:cs="方正小标宋简体"/>
          <w:color w:val="auto"/>
          <w:sz w:val="44"/>
          <w:szCs w:val="44"/>
          <w:highlight w:val="none"/>
          <w:u w:val="none"/>
        </w:rPr>
        <w:t>年部门预算编制口径</w:t>
      </w:r>
    </w:p>
    <w:p w14:paraId="28F1CFD0">
      <w:pPr>
        <w:spacing w:line="600" w:lineRule="exact"/>
        <w:ind w:firstLine="640" w:firstLineChars="200"/>
        <w:rPr>
          <w:rFonts w:ascii="黑体" w:hAnsi="黑体" w:eastAsia="黑体" w:cs="黑体"/>
          <w:color w:val="auto"/>
          <w:sz w:val="32"/>
          <w:szCs w:val="32"/>
          <w:highlight w:val="none"/>
          <w:u w:val="none"/>
        </w:rPr>
      </w:pPr>
    </w:p>
    <w:p w14:paraId="4A79B74D">
      <w:pPr>
        <w:spacing w:line="600" w:lineRule="exact"/>
        <w:ind w:firstLine="640" w:firstLineChars="200"/>
        <w:rPr>
          <w:rFonts w:hint="eastAsia" w:ascii="黑体" w:hAnsi="黑体" w:eastAsia="黑体" w:cs="黑体"/>
          <w:color w:val="auto"/>
          <w:sz w:val="32"/>
          <w:szCs w:val="32"/>
          <w:highlight w:val="none"/>
          <w:u w:val="none"/>
        </w:rPr>
      </w:pPr>
      <w:r>
        <w:rPr>
          <w:rFonts w:hint="eastAsia" w:ascii="黑体" w:hAnsi="黑体" w:eastAsia="黑体" w:cs="黑体"/>
          <w:color w:val="auto"/>
          <w:sz w:val="32"/>
          <w:szCs w:val="32"/>
          <w:highlight w:val="none"/>
          <w:u w:val="none"/>
        </w:rPr>
        <w:t>一、部门收入预算的编报</w:t>
      </w:r>
    </w:p>
    <w:p w14:paraId="155B505C">
      <w:pPr>
        <w:spacing w:line="600" w:lineRule="exact"/>
        <w:ind w:firstLine="640" w:firstLineChars="200"/>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（一）部门收入预算包括一般公共预算财政拨款（含</w:t>
      </w:r>
      <w:r>
        <w:rPr>
          <w:rFonts w:hint="eastAsia" w:ascii="仿宋_GB2312" w:hAnsi="仿宋_GB2312" w:eastAsia="仿宋_GB2312" w:cs="仿宋_GB2312"/>
          <w:color w:val="auto"/>
          <w:sz w:val="32"/>
          <w:szCs w:val="32"/>
          <w:highlight w:val="none"/>
          <w:u w:val="none"/>
          <w:lang w:eastAsia="zh-CN"/>
        </w:rPr>
        <w:t>本级</w:t>
      </w:r>
      <w:r>
        <w:rPr>
          <w:rFonts w:hint="eastAsia" w:ascii="仿宋_GB2312" w:hAnsi="仿宋_GB2312" w:eastAsia="仿宋_GB2312" w:cs="仿宋_GB2312"/>
          <w:color w:val="auto"/>
          <w:sz w:val="32"/>
          <w:szCs w:val="32"/>
          <w:highlight w:val="none"/>
          <w:u w:val="none"/>
        </w:rPr>
        <w:t>经费拨款、纳入</w:t>
      </w:r>
      <w:r>
        <w:rPr>
          <w:rFonts w:hint="eastAsia" w:ascii="仿宋_GB2312" w:hAnsi="仿宋_GB2312" w:eastAsia="仿宋_GB2312" w:cs="仿宋_GB2312"/>
          <w:color w:val="auto"/>
          <w:sz w:val="32"/>
          <w:szCs w:val="32"/>
          <w:highlight w:val="none"/>
          <w:u w:val="none"/>
          <w:lang w:eastAsia="zh-CN"/>
        </w:rPr>
        <w:t>一般公共预算管理</w:t>
      </w:r>
      <w:r>
        <w:rPr>
          <w:rFonts w:hint="eastAsia" w:ascii="仿宋_GB2312" w:hAnsi="仿宋_GB2312" w:eastAsia="仿宋_GB2312" w:cs="仿宋_GB2312"/>
          <w:color w:val="auto"/>
          <w:sz w:val="32"/>
          <w:szCs w:val="32"/>
          <w:highlight w:val="none"/>
          <w:u w:val="none"/>
        </w:rPr>
        <w:t>的非税收入拨款</w:t>
      </w:r>
      <w:r>
        <w:rPr>
          <w:rFonts w:hint="eastAsia" w:ascii="仿宋_GB2312" w:hAnsi="仿宋_GB2312" w:eastAsia="仿宋_GB2312" w:cs="仿宋_GB2312"/>
          <w:color w:val="auto"/>
          <w:sz w:val="32"/>
          <w:szCs w:val="32"/>
          <w:highlight w:val="none"/>
          <w:u w:val="none"/>
          <w:lang w:eastAsia="zh-CN"/>
        </w:rPr>
        <w:t>、上级转移支付</w:t>
      </w:r>
      <w:r>
        <w:rPr>
          <w:rFonts w:hint="eastAsia" w:ascii="仿宋_GB2312" w:hAnsi="仿宋_GB2312" w:eastAsia="仿宋_GB2312" w:cs="仿宋_GB2312"/>
          <w:color w:val="auto"/>
          <w:sz w:val="32"/>
          <w:szCs w:val="32"/>
          <w:highlight w:val="none"/>
          <w:u w:val="none"/>
        </w:rPr>
        <w:t>）、政府性基金预算财政拨款</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含</w:t>
      </w:r>
      <w:r>
        <w:rPr>
          <w:rFonts w:hint="eastAsia" w:ascii="仿宋_GB2312" w:hAnsi="仿宋_GB2312" w:eastAsia="仿宋_GB2312" w:cs="仿宋_GB2312"/>
          <w:color w:val="auto"/>
          <w:sz w:val="32"/>
          <w:szCs w:val="32"/>
          <w:highlight w:val="none"/>
          <w:u w:val="none"/>
          <w:lang w:val="en-US" w:eastAsia="zh-CN"/>
        </w:rPr>
        <w:t>本级政府性基金拨款和上级政府性基金专项转移支付</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w:t>
      </w:r>
      <w:r>
        <w:rPr>
          <w:rFonts w:hint="eastAsia" w:ascii="仿宋_GB2312" w:hAnsi="仿宋_GB2312" w:eastAsia="仿宋_GB2312" w:cs="仿宋_GB2312"/>
          <w:color w:val="auto"/>
          <w:sz w:val="32"/>
          <w:szCs w:val="32"/>
          <w:highlight w:val="none"/>
          <w:u w:val="none"/>
          <w:lang w:val="en-US" w:eastAsia="zh-CN"/>
        </w:rPr>
        <w:t>财政专户管理资金、</w:t>
      </w:r>
      <w:r>
        <w:rPr>
          <w:rFonts w:hint="eastAsia" w:ascii="仿宋_GB2312" w:hAnsi="仿宋_GB2312" w:eastAsia="仿宋_GB2312" w:cs="仿宋_GB2312"/>
          <w:color w:val="auto"/>
          <w:sz w:val="32"/>
          <w:szCs w:val="32"/>
          <w:highlight w:val="none"/>
          <w:u w:val="none"/>
        </w:rPr>
        <w:t>上年结转结余、</w:t>
      </w:r>
      <w:r>
        <w:rPr>
          <w:rFonts w:hint="eastAsia" w:ascii="仿宋_GB2312" w:hAnsi="仿宋_GB2312" w:eastAsia="仿宋_GB2312" w:cs="仿宋_GB2312"/>
          <w:color w:val="auto"/>
          <w:sz w:val="32"/>
          <w:szCs w:val="32"/>
          <w:highlight w:val="none"/>
          <w:u w:val="none"/>
          <w:lang w:val="en-US" w:eastAsia="zh-CN"/>
        </w:rPr>
        <w:t>单位资金（含</w:t>
      </w:r>
      <w:r>
        <w:rPr>
          <w:rFonts w:hint="eastAsia" w:ascii="仿宋_GB2312" w:hAnsi="仿宋_GB2312" w:eastAsia="仿宋_GB2312" w:cs="仿宋_GB2312"/>
          <w:color w:val="auto"/>
          <w:sz w:val="32"/>
          <w:szCs w:val="32"/>
          <w:highlight w:val="none"/>
          <w:u w:val="none"/>
        </w:rPr>
        <w:t>事业收入</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事业单位经营收入、附属单位上缴收入、上级补助收入、其他收入</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等。</w:t>
      </w:r>
    </w:p>
    <w:p w14:paraId="7374139E">
      <w:pPr>
        <w:spacing w:line="600" w:lineRule="exact"/>
        <w:ind w:firstLine="645"/>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二）非税收入包括专项收入、行政事业性收费、罚没收入、国有资本经营收入、国有资源（资产）有偿使用收入（含门面出租收入、资产变现收入等）和其他收入等。非税收入征收计划数应以依法征收、应收尽收为前提，参照近三年来实际征收完成情况，考虑政策影响综合分析后填报。预算编列数与以前年度决算数有较大差异的，要书面说明具体变化原因。对应收未收，没有完成非税收入计划的，调减其相应支出。</w:t>
      </w:r>
    </w:p>
    <w:p w14:paraId="472D2683">
      <w:pPr>
        <w:spacing w:line="600" w:lineRule="exact"/>
        <w:ind w:firstLine="640" w:firstLineChars="200"/>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（三）编报上级</w:t>
      </w:r>
      <w:r>
        <w:rPr>
          <w:rFonts w:hint="eastAsia" w:ascii="仿宋_GB2312" w:hAnsi="仿宋_GB2312" w:eastAsia="仿宋_GB2312" w:cs="仿宋_GB2312"/>
          <w:color w:val="auto"/>
          <w:sz w:val="32"/>
          <w:szCs w:val="32"/>
          <w:highlight w:val="none"/>
          <w:u w:val="none"/>
          <w:lang w:val="en-US" w:eastAsia="zh-CN"/>
        </w:rPr>
        <w:t>转移支付</w:t>
      </w:r>
      <w:r>
        <w:rPr>
          <w:rFonts w:hint="eastAsia" w:ascii="仿宋_GB2312" w:hAnsi="仿宋_GB2312" w:eastAsia="仿宋_GB2312" w:cs="仿宋_GB2312"/>
          <w:color w:val="auto"/>
          <w:sz w:val="32"/>
          <w:szCs w:val="32"/>
          <w:highlight w:val="none"/>
          <w:u w:val="none"/>
        </w:rPr>
        <w:t>收入时，</w:t>
      </w:r>
      <w:r>
        <w:rPr>
          <w:rFonts w:hint="eastAsia" w:ascii="仿宋_GB2312" w:hAnsi="仿宋_GB2312" w:eastAsia="仿宋_GB2312" w:cs="仿宋_GB2312"/>
          <w:color w:val="auto"/>
          <w:sz w:val="32"/>
          <w:szCs w:val="32"/>
          <w:highlight w:val="none"/>
          <w:u w:val="none"/>
          <w:lang w:val="en-US" w:eastAsia="zh-CN"/>
        </w:rPr>
        <w:t>各</w:t>
      </w:r>
      <w:r>
        <w:rPr>
          <w:rFonts w:hint="eastAsia" w:ascii="仿宋_GB2312" w:hAnsi="仿宋_GB2312" w:eastAsia="仿宋_GB2312" w:cs="仿宋_GB2312"/>
          <w:color w:val="auto"/>
          <w:sz w:val="32"/>
          <w:szCs w:val="32"/>
          <w:highlight w:val="none"/>
          <w:u w:val="none"/>
        </w:rPr>
        <w:t>预算单位应将省</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lang w:val="en-US" w:eastAsia="zh-CN"/>
        </w:rPr>
        <w:t>市</w:t>
      </w:r>
      <w:r>
        <w:rPr>
          <w:rFonts w:hint="eastAsia" w:ascii="仿宋_GB2312" w:hAnsi="仿宋_GB2312" w:eastAsia="仿宋_GB2312" w:cs="仿宋_GB2312"/>
          <w:color w:val="auto"/>
          <w:sz w:val="32"/>
          <w:szCs w:val="32"/>
          <w:highlight w:val="none"/>
          <w:u w:val="none"/>
        </w:rPr>
        <w:t>提前通知的转移支付指标</w:t>
      </w:r>
      <w:r>
        <w:rPr>
          <w:rFonts w:hint="eastAsia" w:ascii="仿宋_GB2312" w:hAnsi="仿宋_GB2312" w:eastAsia="仿宋_GB2312" w:cs="仿宋_GB2312"/>
          <w:color w:val="auto"/>
          <w:sz w:val="32"/>
          <w:szCs w:val="32"/>
          <w:highlight w:val="none"/>
          <w:u w:val="none"/>
          <w:lang w:val="en-US" w:eastAsia="zh-CN"/>
        </w:rPr>
        <w:t>区</w:t>
      </w:r>
      <w:r>
        <w:rPr>
          <w:rFonts w:hint="eastAsia" w:ascii="仿宋_GB2312" w:hAnsi="仿宋_GB2312" w:eastAsia="仿宋_GB2312" w:cs="仿宋_GB2312"/>
          <w:color w:val="auto"/>
          <w:sz w:val="32"/>
          <w:szCs w:val="32"/>
          <w:highlight w:val="none"/>
          <w:u w:val="none"/>
        </w:rPr>
        <w:t>本级使用部分纳入部门预算。未提前通知的转移支付资金，</w:t>
      </w:r>
      <w:r>
        <w:rPr>
          <w:rFonts w:hint="eastAsia" w:ascii="仿宋_GB2312" w:hAnsi="仿宋_GB2312" w:eastAsia="仿宋_GB2312" w:cs="仿宋_GB2312"/>
          <w:color w:val="auto"/>
          <w:sz w:val="32"/>
          <w:szCs w:val="32"/>
          <w:highlight w:val="none"/>
          <w:u w:val="none"/>
          <w:lang w:val="en-US" w:eastAsia="zh-CN"/>
        </w:rPr>
        <w:t>各</w:t>
      </w:r>
      <w:r>
        <w:rPr>
          <w:rFonts w:hint="eastAsia" w:ascii="仿宋_GB2312" w:hAnsi="仿宋_GB2312" w:eastAsia="仿宋_GB2312" w:cs="仿宋_GB2312"/>
          <w:color w:val="auto"/>
          <w:sz w:val="32"/>
          <w:szCs w:val="32"/>
          <w:highlight w:val="none"/>
          <w:u w:val="none"/>
        </w:rPr>
        <w:t>预算单位应根据以前年度实际收到的转移支付情况、下年度国家和省有关规划，合理预测下年度上级转移支付资金情况，原则上按照不低于前三年平均数，将其列入部门预算。</w:t>
      </w:r>
    </w:p>
    <w:p w14:paraId="50B94913">
      <w:pPr>
        <w:spacing w:line="600" w:lineRule="exact"/>
        <w:ind w:firstLine="640" w:firstLineChars="200"/>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（四）财政部门根据政府性基金收入预计和工作任务情况，核定政府性基金预算财政拨款支出控制数；</w:t>
      </w:r>
      <w:r>
        <w:rPr>
          <w:rFonts w:hint="eastAsia" w:ascii="仿宋_GB2312" w:hAnsi="仿宋_GB2312" w:eastAsia="仿宋_GB2312" w:cs="仿宋_GB2312"/>
          <w:color w:val="auto"/>
          <w:sz w:val="32"/>
          <w:szCs w:val="32"/>
          <w:highlight w:val="none"/>
          <w:u w:val="none"/>
          <w:lang w:val="en-US" w:eastAsia="zh-CN"/>
        </w:rPr>
        <w:t>各</w:t>
      </w:r>
      <w:r>
        <w:rPr>
          <w:rFonts w:hint="eastAsia" w:ascii="仿宋_GB2312" w:hAnsi="仿宋_GB2312" w:eastAsia="仿宋_GB2312" w:cs="仿宋_GB2312"/>
          <w:color w:val="auto"/>
          <w:sz w:val="32"/>
          <w:szCs w:val="32"/>
          <w:highlight w:val="none"/>
          <w:u w:val="none"/>
        </w:rPr>
        <w:t>预算单位按照控制数相应编列政府性基金预算财政拨款收入支出。</w:t>
      </w:r>
    </w:p>
    <w:p w14:paraId="01137504">
      <w:pPr>
        <w:spacing w:line="600" w:lineRule="exact"/>
        <w:ind w:firstLine="640" w:firstLineChars="200"/>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（五）</w:t>
      </w:r>
      <w:r>
        <w:rPr>
          <w:rFonts w:hint="eastAsia" w:ascii="仿宋_GB2312" w:hAnsi="仿宋_GB2312" w:eastAsia="仿宋_GB2312" w:cs="仿宋_GB2312"/>
          <w:color w:val="auto"/>
          <w:sz w:val="32"/>
          <w:szCs w:val="32"/>
          <w:highlight w:val="none"/>
          <w:u w:val="none"/>
          <w:lang w:val="en-US" w:eastAsia="zh-CN"/>
        </w:rPr>
        <w:t>各</w:t>
      </w:r>
      <w:r>
        <w:rPr>
          <w:rFonts w:hint="eastAsia" w:ascii="仿宋_GB2312" w:hAnsi="仿宋_GB2312" w:eastAsia="仿宋_GB2312" w:cs="仿宋_GB2312"/>
          <w:color w:val="auto"/>
          <w:sz w:val="32"/>
          <w:szCs w:val="32"/>
          <w:highlight w:val="none"/>
          <w:u w:val="none"/>
        </w:rPr>
        <w:t>预算单位应当按照预计数，足额将事业收入、事业单位经营收入、其他收入等收入列入预算。</w:t>
      </w:r>
    </w:p>
    <w:p w14:paraId="653143E8">
      <w:pPr>
        <w:spacing w:line="600" w:lineRule="exact"/>
        <w:ind w:firstLine="640" w:firstLineChars="200"/>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（六）</w:t>
      </w:r>
      <w:r>
        <w:rPr>
          <w:rFonts w:hint="eastAsia" w:ascii="仿宋_GB2312" w:hAnsi="仿宋_GB2312" w:eastAsia="仿宋_GB2312" w:cs="仿宋_GB2312"/>
          <w:color w:val="auto"/>
          <w:sz w:val="32"/>
          <w:szCs w:val="32"/>
          <w:highlight w:val="none"/>
          <w:u w:val="none"/>
          <w:lang w:val="en-US" w:eastAsia="zh-CN"/>
        </w:rPr>
        <w:t>严格执行结余结转资金管理规定，控制部门预算结转资金规模，不符合结转规定的，收回财政统筹使用。</w:t>
      </w:r>
      <w:r>
        <w:rPr>
          <w:rFonts w:hint="eastAsia" w:ascii="仿宋_GB2312" w:hAnsi="仿宋_GB2312" w:eastAsia="仿宋_GB2312" w:cs="仿宋_GB2312"/>
          <w:color w:val="auto"/>
          <w:sz w:val="32"/>
          <w:szCs w:val="32"/>
          <w:highlight w:val="none"/>
          <w:u w:val="none"/>
        </w:rPr>
        <w:t>部门预算中</w:t>
      </w:r>
      <w:r>
        <w:rPr>
          <w:rFonts w:hint="eastAsia" w:ascii="仿宋_GB2312" w:hAnsi="仿宋_GB2312" w:eastAsia="仿宋_GB2312" w:cs="仿宋_GB2312"/>
          <w:color w:val="auto"/>
          <w:sz w:val="32"/>
          <w:szCs w:val="32"/>
          <w:highlight w:val="none"/>
          <w:u w:val="none"/>
          <w:lang w:val="en-US" w:eastAsia="zh-CN"/>
        </w:rPr>
        <w:t>上级转移支付</w:t>
      </w:r>
      <w:r>
        <w:rPr>
          <w:rFonts w:hint="eastAsia" w:ascii="仿宋_GB2312" w:hAnsi="仿宋_GB2312" w:eastAsia="仿宋_GB2312" w:cs="仿宋_GB2312"/>
          <w:color w:val="auto"/>
          <w:sz w:val="32"/>
          <w:szCs w:val="32"/>
          <w:highlight w:val="none"/>
          <w:u w:val="none"/>
        </w:rPr>
        <w:t>“上年结转”数额按预计数填报</w:t>
      </w:r>
      <w:r>
        <w:rPr>
          <w:rFonts w:hint="eastAsia" w:ascii="仿宋_GB2312" w:hAnsi="仿宋_GB2312" w:eastAsia="仿宋_GB2312" w:cs="仿宋_GB2312"/>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202</w:t>
      </w:r>
      <w:r>
        <w:rPr>
          <w:rFonts w:hint="default" w:ascii="Times New Roman" w:hAnsi="Times New Roman" w:eastAsia="仿宋_GB2312" w:cs="Times New Roman"/>
          <w:color w:val="auto"/>
          <w:sz w:val="32"/>
          <w:szCs w:val="32"/>
          <w:highlight w:val="none"/>
          <w:u w:val="none"/>
          <w:lang w:val="en-US" w:eastAsia="zh-CN"/>
        </w:rPr>
        <w:t>5</w:t>
      </w:r>
      <w:r>
        <w:rPr>
          <w:rFonts w:hint="eastAsia" w:ascii="仿宋_GB2312" w:hAnsi="仿宋_GB2312" w:eastAsia="仿宋_GB2312" w:cs="仿宋_GB2312"/>
          <w:color w:val="auto"/>
          <w:sz w:val="32"/>
          <w:szCs w:val="32"/>
          <w:highlight w:val="none"/>
          <w:u w:val="none"/>
        </w:rPr>
        <w:t>年度预算执行结束，</w:t>
      </w:r>
      <w:r>
        <w:rPr>
          <w:rFonts w:hint="eastAsia" w:ascii="仿宋_GB2312" w:hAnsi="仿宋_GB2312" w:eastAsia="仿宋_GB2312" w:cs="仿宋_GB2312"/>
          <w:color w:val="auto"/>
          <w:sz w:val="32"/>
          <w:szCs w:val="32"/>
          <w:highlight w:val="none"/>
          <w:u w:val="none"/>
          <w:lang w:val="en-US" w:eastAsia="zh-CN"/>
        </w:rPr>
        <w:t>符合结转条件的，通过预算一体化系统办理结转后使用</w:t>
      </w:r>
      <w:r>
        <w:rPr>
          <w:rFonts w:hint="eastAsia" w:ascii="仿宋_GB2312" w:hAnsi="仿宋_GB2312" w:eastAsia="仿宋_GB2312" w:cs="仿宋_GB2312"/>
          <w:color w:val="auto"/>
          <w:sz w:val="32"/>
          <w:szCs w:val="32"/>
          <w:highlight w:val="none"/>
          <w:u w:val="none"/>
        </w:rPr>
        <w:t>。</w:t>
      </w:r>
    </w:p>
    <w:p w14:paraId="7E0C85C3">
      <w:pPr>
        <w:spacing w:line="600" w:lineRule="exact"/>
        <w:ind w:firstLine="640" w:firstLineChars="200"/>
        <w:rPr>
          <w:rFonts w:hint="eastAsia" w:ascii="黑体" w:hAnsi="黑体" w:eastAsia="黑体" w:cs="黑体"/>
          <w:color w:val="auto"/>
          <w:sz w:val="32"/>
          <w:szCs w:val="32"/>
          <w:highlight w:val="none"/>
          <w:u w:val="none"/>
        </w:rPr>
      </w:pPr>
      <w:r>
        <w:rPr>
          <w:rFonts w:hint="eastAsia" w:ascii="黑体" w:hAnsi="黑体" w:eastAsia="黑体" w:cs="黑体"/>
          <w:color w:val="auto"/>
          <w:sz w:val="32"/>
          <w:szCs w:val="32"/>
          <w:highlight w:val="none"/>
          <w:u w:val="none"/>
        </w:rPr>
        <w:t>二、部门</w:t>
      </w:r>
      <w:r>
        <w:rPr>
          <w:rFonts w:ascii="黑体" w:hAnsi="黑体" w:eastAsia="黑体" w:cs="黑体"/>
          <w:color w:val="auto"/>
          <w:sz w:val="32"/>
          <w:szCs w:val="32"/>
          <w:highlight w:val="none"/>
          <w:u w:val="none"/>
        </w:rPr>
        <w:t>支出预算的编报</w:t>
      </w:r>
    </w:p>
    <w:p w14:paraId="2D834EAD">
      <w:pPr>
        <w:spacing w:line="600" w:lineRule="exact"/>
        <w:ind w:firstLine="640" w:firstLineChars="200"/>
        <w:rPr>
          <w:rFonts w:hint="eastAsia" w:ascii="楷体" w:hAnsi="楷体" w:eastAsia="楷体" w:cs="仿宋_GB2312"/>
          <w:color w:val="auto"/>
          <w:sz w:val="32"/>
          <w:szCs w:val="32"/>
          <w:highlight w:val="none"/>
          <w:u w:val="none"/>
        </w:rPr>
      </w:pPr>
      <w:r>
        <w:rPr>
          <w:rFonts w:hint="eastAsia" w:ascii="楷体" w:hAnsi="楷体" w:eastAsia="楷体" w:cs="黑体"/>
          <w:color w:val="auto"/>
          <w:sz w:val="32"/>
          <w:szCs w:val="32"/>
          <w:highlight w:val="none"/>
          <w:u w:val="none"/>
        </w:rPr>
        <w:t>（一）</w:t>
      </w:r>
      <w:r>
        <w:rPr>
          <w:rFonts w:hint="eastAsia" w:ascii="楷体" w:hAnsi="楷体" w:eastAsia="楷体" w:cs="仿宋_GB2312"/>
          <w:color w:val="auto"/>
          <w:sz w:val="32"/>
          <w:szCs w:val="32"/>
          <w:highlight w:val="none"/>
          <w:u w:val="none"/>
        </w:rPr>
        <w:t>人员类项目</w:t>
      </w:r>
    </w:p>
    <w:p w14:paraId="70236A32">
      <w:pPr>
        <w:spacing w:line="600"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人员类项目</w:t>
      </w:r>
      <w:r>
        <w:rPr>
          <w:rFonts w:hint="default" w:ascii="Times New Roman" w:hAnsi="Times New Roman" w:eastAsia="仿宋" w:cs="Times New Roman"/>
          <w:color w:val="auto"/>
          <w:sz w:val="32"/>
          <w:szCs w:val="32"/>
          <w:highlight w:val="none"/>
          <w:u w:val="none"/>
        </w:rPr>
        <w:t>包括工资福利支出、对个人和家庭的补助支出等。</w:t>
      </w:r>
    </w:p>
    <w:p w14:paraId="42F3FE42">
      <w:pPr>
        <w:spacing w:line="600"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eastAsia="zh-CN"/>
        </w:rPr>
        <w:t>1.</w:t>
      </w:r>
      <w:r>
        <w:rPr>
          <w:rFonts w:hint="default" w:ascii="Times New Roman" w:hAnsi="Times New Roman" w:eastAsia="仿宋_GB2312" w:cs="Times New Roman"/>
          <w:color w:val="auto"/>
          <w:sz w:val="32"/>
          <w:szCs w:val="32"/>
          <w:highlight w:val="none"/>
          <w:u w:val="none"/>
        </w:rPr>
        <w:t>人员类项目预算按照“三核”（编办核编、组织人社核标、财政核资）程序审批执行。</w:t>
      </w:r>
    </w:p>
    <w:p w14:paraId="7FD93DA0">
      <w:pPr>
        <w:spacing w:line="600"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eastAsia="zh-CN"/>
        </w:rPr>
        <w:t>2.</w:t>
      </w:r>
      <w:r>
        <w:rPr>
          <w:rFonts w:hint="default" w:ascii="Times New Roman" w:hAnsi="Times New Roman" w:eastAsia="仿宋_GB2312" w:cs="Times New Roman"/>
          <w:color w:val="auto"/>
          <w:sz w:val="32"/>
          <w:szCs w:val="32"/>
          <w:highlight w:val="none"/>
          <w:u w:val="none"/>
        </w:rPr>
        <w:t>人员类项目预算按组织和人社部门核定的</w:t>
      </w:r>
      <w:r>
        <w:rPr>
          <w:rFonts w:hint="default" w:ascii="Times New Roman" w:hAnsi="Times New Roman" w:eastAsia="仿宋_GB2312" w:cs="Times New Roman"/>
          <w:color w:val="auto"/>
          <w:sz w:val="32"/>
          <w:szCs w:val="32"/>
          <w:highlight w:val="none"/>
          <w:u w:val="none"/>
          <w:lang w:eastAsia="zh-CN"/>
        </w:rPr>
        <w:t>截至</w:t>
      </w:r>
      <w:r>
        <w:rPr>
          <w:rFonts w:hint="default" w:ascii="Times New Roman" w:hAnsi="Times New Roman" w:eastAsia="仿宋_GB2312" w:cs="Times New Roman"/>
          <w:color w:val="auto"/>
          <w:sz w:val="32"/>
          <w:szCs w:val="32"/>
          <w:highlight w:val="none"/>
          <w:u w:val="none"/>
        </w:rPr>
        <w:t>202</w:t>
      </w:r>
      <w:r>
        <w:rPr>
          <w:rFonts w:hint="default" w:ascii="Times New Roman" w:hAnsi="Times New Roman" w:eastAsia="仿宋_GB2312" w:cs="Times New Roman"/>
          <w:color w:val="auto"/>
          <w:sz w:val="32"/>
          <w:szCs w:val="32"/>
          <w:highlight w:val="none"/>
          <w:u w:val="none"/>
          <w:lang w:val="en-US" w:eastAsia="zh-CN"/>
        </w:rPr>
        <w:t>5</w:t>
      </w:r>
      <w:r>
        <w:rPr>
          <w:rFonts w:hint="default" w:ascii="Times New Roman" w:hAnsi="Times New Roman" w:eastAsia="仿宋_GB2312" w:cs="Times New Roman"/>
          <w:color w:val="auto"/>
          <w:sz w:val="32"/>
          <w:szCs w:val="32"/>
          <w:highlight w:val="none"/>
          <w:u w:val="none"/>
        </w:rPr>
        <w:t>年8月30日单位在编在职人员或离休人员的最新工资数据编列。</w:t>
      </w:r>
    </w:p>
    <w:p w14:paraId="4D5DD222">
      <w:pPr>
        <w:spacing w:line="600"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bCs/>
          <w:color w:val="auto"/>
          <w:sz w:val="32"/>
          <w:szCs w:val="32"/>
          <w:highlight w:val="none"/>
          <w:u w:val="none"/>
          <w:lang w:eastAsia="zh-CN"/>
        </w:rPr>
        <w:t>3.</w:t>
      </w:r>
      <w:r>
        <w:rPr>
          <w:rFonts w:hint="default" w:ascii="Times New Roman" w:hAnsi="Times New Roman" w:eastAsia="仿宋_GB2312" w:cs="Times New Roman"/>
          <w:bCs/>
          <w:color w:val="auto"/>
          <w:sz w:val="32"/>
          <w:szCs w:val="32"/>
          <w:highlight w:val="none"/>
          <w:u w:val="none"/>
        </w:rPr>
        <w:t>行政、参</w:t>
      </w:r>
      <w:r>
        <w:rPr>
          <w:rFonts w:hint="default" w:ascii="Times New Roman" w:hAnsi="Times New Roman" w:eastAsia="仿宋_GB2312" w:cs="Times New Roman"/>
          <w:color w:val="auto"/>
          <w:sz w:val="32"/>
          <w:szCs w:val="32"/>
          <w:highlight w:val="none"/>
          <w:u w:val="none"/>
        </w:rPr>
        <w:t>公单位和公益一类事业单位在职人员按批准后的工资全额</w:t>
      </w:r>
      <w:r>
        <w:rPr>
          <w:rFonts w:hint="default" w:ascii="Times New Roman" w:hAnsi="Times New Roman" w:eastAsia="仿宋_GB2312" w:cs="Times New Roman"/>
          <w:bCs/>
          <w:color w:val="auto"/>
          <w:sz w:val="32"/>
          <w:szCs w:val="32"/>
          <w:highlight w:val="none"/>
          <w:u w:val="none"/>
        </w:rPr>
        <w:t>纳入部门预算，</w:t>
      </w:r>
      <w:r>
        <w:rPr>
          <w:rFonts w:hint="default" w:ascii="Times New Roman" w:hAnsi="Times New Roman" w:eastAsia="仿宋_GB2312" w:cs="Times New Roman"/>
          <w:color w:val="auto"/>
          <w:sz w:val="32"/>
          <w:szCs w:val="32"/>
          <w:highlight w:val="none"/>
          <w:u w:val="none"/>
        </w:rPr>
        <w:t>特殊行业的特岗津贴按标准纳入预算。机关事业单位离休人员按批准后的工资全额纳入预算。公益二类事业单位在职人员按批准后工资总额的60%纳入</w:t>
      </w:r>
      <w:r>
        <w:rPr>
          <w:rFonts w:hint="default" w:ascii="Times New Roman" w:hAnsi="Times New Roman" w:eastAsia="仿宋_GB2312" w:cs="Times New Roman"/>
          <w:color w:val="auto"/>
          <w:sz w:val="32"/>
          <w:szCs w:val="32"/>
          <w:highlight w:val="none"/>
          <w:u w:val="none"/>
          <w:lang w:val="en-US" w:eastAsia="zh-CN"/>
        </w:rPr>
        <w:t>经费拨款</w:t>
      </w:r>
      <w:r>
        <w:rPr>
          <w:rFonts w:hint="default" w:ascii="Times New Roman" w:hAnsi="Times New Roman" w:eastAsia="仿宋_GB2312" w:cs="Times New Roman"/>
          <w:color w:val="auto"/>
          <w:sz w:val="32"/>
          <w:szCs w:val="32"/>
          <w:highlight w:val="none"/>
          <w:u w:val="none"/>
        </w:rPr>
        <w:t>预算，</w:t>
      </w:r>
      <w:r>
        <w:rPr>
          <w:rFonts w:hint="default" w:ascii="Times New Roman" w:hAnsi="Times New Roman" w:eastAsia="仿宋_GB2312" w:cs="Times New Roman"/>
          <w:color w:val="auto"/>
          <w:sz w:val="32"/>
          <w:szCs w:val="32"/>
          <w:highlight w:val="none"/>
          <w:u w:val="none"/>
          <w:lang w:val="en-US" w:eastAsia="zh-CN"/>
        </w:rPr>
        <w:t>40%纳入非税收入或单位自有资金预算</w:t>
      </w:r>
      <w:r>
        <w:rPr>
          <w:rFonts w:hint="default" w:ascii="Times New Roman" w:hAnsi="Times New Roman" w:eastAsia="仿宋_GB2312" w:cs="Times New Roman"/>
          <w:color w:val="auto"/>
          <w:sz w:val="32"/>
          <w:szCs w:val="32"/>
          <w:highlight w:val="none"/>
          <w:u w:val="none"/>
        </w:rPr>
        <w:t>。</w:t>
      </w:r>
    </w:p>
    <w:p w14:paraId="09367243">
      <w:pPr>
        <w:spacing w:line="600"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eastAsia="zh-CN"/>
        </w:rPr>
        <w:t>4.</w:t>
      </w:r>
      <w:r>
        <w:rPr>
          <w:rFonts w:hint="default" w:ascii="Times New Roman" w:hAnsi="Times New Roman" w:eastAsia="仿宋_GB2312" w:cs="Times New Roman"/>
          <w:color w:val="auto"/>
          <w:sz w:val="32"/>
          <w:szCs w:val="32"/>
          <w:highlight w:val="none"/>
          <w:u w:val="none"/>
        </w:rPr>
        <w:t>改革性补贴。</w:t>
      </w:r>
      <w:r>
        <w:rPr>
          <w:rFonts w:hint="default" w:ascii="Times New Roman" w:hAnsi="Times New Roman" w:eastAsia="仿宋_GB2312" w:cs="Times New Roman"/>
          <w:b/>
          <w:color w:val="auto"/>
          <w:sz w:val="32"/>
          <w:szCs w:val="32"/>
          <w:highlight w:val="none"/>
          <w:u w:val="none"/>
        </w:rPr>
        <w:t>住房补贴：</w:t>
      </w:r>
      <w:r>
        <w:rPr>
          <w:rFonts w:hint="default" w:ascii="Times New Roman" w:hAnsi="Times New Roman" w:eastAsia="仿宋_GB2312" w:cs="Times New Roman"/>
          <w:color w:val="auto"/>
          <w:sz w:val="32"/>
          <w:szCs w:val="32"/>
          <w:highlight w:val="none"/>
          <w:u w:val="none"/>
        </w:rPr>
        <w:t>按在职及离休人员上年工资总额的2.5%列入预算</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在2020年发放总额度内，暂时保留本人额度，发放范围严格按规定执行，下一步根据省统一部署，结合住房体制等相关改革另行规范</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w:t>
      </w:r>
      <w:r>
        <w:rPr>
          <w:rFonts w:hint="default" w:ascii="Times New Roman" w:hAnsi="Times New Roman" w:eastAsia="仿宋_GB2312" w:cs="Times New Roman"/>
          <w:b/>
          <w:color w:val="auto"/>
          <w:sz w:val="32"/>
          <w:szCs w:val="32"/>
          <w:highlight w:val="none"/>
          <w:u w:val="none"/>
        </w:rPr>
        <w:t>交通改革补贴：</w:t>
      </w:r>
      <w:r>
        <w:rPr>
          <w:rFonts w:hint="default" w:ascii="Times New Roman" w:hAnsi="Times New Roman" w:eastAsia="仿宋_GB2312" w:cs="Times New Roman"/>
          <w:color w:val="auto"/>
          <w:sz w:val="32"/>
          <w:szCs w:val="32"/>
          <w:highlight w:val="none"/>
          <w:u w:val="none"/>
        </w:rPr>
        <w:t>按在职人员220元/人月列入预算；</w:t>
      </w:r>
      <w:r>
        <w:rPr>
          <w:rFonts w:hint="default" w:ascii="Times New Roman" w:hAnsi="Times New Roman" w:eastAsia="仿宋_GB2312" w:cs="Times New Roman"/>
          <w:b/>
          <w:color w:val="auto"/>
          <w:sz w:val="32"/>
          <w:szCs w:val="32"/>
          <w:highlight w:val="none"/>
          <w:u w:val="none"/>
        </w:rPr>
        <w:t>物业管理补贴：</w:t>
      </w:r>
      <w:r>
        <w:rPr>
          <w:rFonts w:hint="default" w:ascii="Times New Roman" w:hAnsi="Times New Roman" w:eastAsia="仿宋_GB2312" w:cs="Times New Roman"/>
          <w:color w:val="auto"/>
          <w:sz w:val="32"/>
          <w:szCs w:val="32"/>
          <w:highlight w:val="none"/>
          <w:u w:val="none"/>
        </w:rPr>
        <w:t>在职及离休人员按厅级280元/人月，处级240元/人月，科级及以下200元/人月，高级技师、技师220元/人月，高级工及以下160元/人月列入预算；</w:t>
      </w:r>
      <w:r>
        <w:rPr>
          <w:rFonts w:hint="default" w:ascii="Times New Roman" w:hAnsi="Times New Roman" w:eastAsia="仿宋_GB2312" w:cs="Times New Roman"/>
          <w:b/>
          <w:color w:val="auto"/>
          <w:sz w:val="32"/>
          <w:szCs w:val="32"/>
          <w:highlight w:val="none"/>
          <w:u w:val="none"/>
        </w:rPr>
        <w:t>通讯补贴：</w:t>
      </w:r>
      <w:r>
        <w:rPr>
          <w:rFonts w:hint="default" w:ascii="Times New Roman" w:hAnsi="Times New Roman" w:eastAsia="仿宋_GB2312" w:cs="Times New Roman"/>
          <w:color w:val="auto"/>
          <w:sz w:val="32"/>
          <w:szCs w:val="32"/>
          <w:highlight w:val="none"/>
          <w:u w:val="none"/>
        </w:rPr>
        <w:t>在职行政及参公人员按厅级420元/人月，处级310元/人月，科级160元/人月，科员及以下100元/人月列入预算，离休人员按在职同级别人员标准的90%列入预算。</w:t>
      </w:r>
    </w:p>
    <w:p w14:paraId="7050A5DA">
      <w:pPr>
        <w:spacing w:line="600" w:lineRule="exact"/>
        <w:ind w:firstLine="640" w:firstLineChars="200"/>
        <w:rPr>
          <w:rFonts w:hint="default" w:ascii="Times New Roman" w:hAnsi="Times New Roman" w:eastAsia="仿宋_GB2312" w:cs="Times New Roman"/>
          <w:bCs/>
          <w:color w:val="auto"/>
          <w:sz w:val="32"/>
          <w:szCs w:val="32"/>
          <w:highlight w:val="none"/>
          <w:u w:val="none"/>
        </w:rPr>
      </w:pPr>
      <w:r>
        <w:rPr>
          <w:rFonts w:hint="default" w:ascii="Times New Roman" w:hAnsi="Times New Roman" w:eastAsia="仿宋_GB2312" w:cs="Times New Roman"/>
          <w:bCs/>
          <w:color w:val="auto"/>
          <w:sz w:val="32"/>
          <w:szCs w:val="32"/>
          <w:highlight w:val="none"/>
          <w:u w:val="none"/>
          <w:lang w:eastAsia="zh-CN"/>
        </w:rPr>
        <w:t>5.</w:t>
      </w:r>
      <w:r>
        <w:rPr>
          <w:rFonts w:hint="default" w:ascii="Times New Roman" w:hAnsi="Times New Roman" w:eastAsia="仿宋_GB2312" w:cs="Times New Roman"/>
          <w:bCs/>
          <w:color w:val="auto"/>
          <w:sz w:val="32"/>
          <w:szCs w:val="32"/>
          <w:highlight w:val="none"/>
          <w:u w:val="none"/>
        </w:rPr>
        <w:t>奖励性补贴。包括基础绩效奖、年度考核奖、事业单位单列核定绩效工资</w:t>
      </w:r>
      <w:r>
        <w:rPr>
          <w:rFonts w:hint="default" w:ascii="Times New Roman" w:hAnsi="Times New Roman" w:eastAsia="仿宋_GB2312" w:cs="Times New Roman"/>
          <w:bCs/>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公务员绩效奖金</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机关工人绩效奖金、</w:t>
      </w:r>
      <w:r>
        <w:rPr>
          <w:rFonts w:hint="default" w:ascii="Times New Roman" w:hAnsi="Times New Roman" w:eastAsia="仿宋_GB2312" w:cs="Times New Roman"/>
          <w:bCs/>
          <w:color w:val="auto"/>
          <w:sz w:val="32"/>
          <w:szCs w:val="32"/>
          <w:highlight w:val="none"/>
          <w:u w:val="none"/>
          <w:lang w:val="en-US" w:eastAsia="zh-CN"/>
        </w:rPr>
        <w:t>事业单位人员单列核定绩效工资、离休干部离休补贴、机关事业单位人员“统筹待遇”</w:t>
      </w:r>
      <w:r>
        <w:rPr>
          <w:rFonts w:hint="default" w:ascii="Times New Roman" w:hAnsi="Times New Roman" w:eastAsia="仿宋_GB2312" w:cs="Times New Roman"/>
          <w:bCs/>
          <w:color w:val="auto"/>
          <w:sz w:val="32"/>
          <w:szCs w:val="32"/>
          <w:highlight w:val="none"/>
          <w:u w:val="none"/>
          <w:lang w:eastAsia="zh-CN"/>
        </w:rPr>
        <w:t>）</w:t>
      </w:r>
      <w:r>
        <w:rPr>
          <w:rFonts w:hint="default" w:ascii="Times New Roman" w:hAnsi="Times New Roman" w:eastAsia="仿宋_GB2312" w:cs="Times New Roman"/>
          <w:bCs/>
          <w:color w:val="auto"/>
          <w:sz w:val="32"/>
          <w:szCs w:val="32"/>
          <w:highlight w:val="none"/>
          <w:u w:val="none"/>
        </w:rPr>
        <w:t>。按202</w:t>
      </w:r>
      <w:r>
        <w:rPr>
          <w:rFonts w:hint="default" w:ascii="Times New Roman" w:hAnsi="Times New Roman" w:eastAsia="仿宋_GB2312" w:cs="Times New Roman"/>
          <w:bCs/>
          <w:color w:val="auto"/>
          <w:sz w:val="32"/>
          <w:szCs w:val="32"/>
          <w:highlight w:val="none"/>
          <w:u w:val="none"/>
          <w:lang w:val="en-US" w:eastAsia="zh-CN"/>
        </w:rPr>
        <w:t>5</w:t>
      </w:r>
      <w:r>
        <w:rPr>
          <w:rFonts w:hint="default" w:ascii="Times New Roman" w:hAnsi="Times New Roman" w:eastAsia="仿宋_GB2312" w:cs="Times New Roman"/>
          <w:bCs/>
          <w:color w:val="auto"/>
          <w:sz w:val="32"/>
          <w:szCs w:val="32"/>
          <w:highlight w:val="none"/>
          <w:u w:val="none"/>
        </w:rPr>
        <w:t>年组织、人社部门核定的发放标准列入预算。</w:t>
      </w:r>
    </w:p>
    <w:p w14:paraId="66428763">
      <w:pPr>
        <w:spacing w:line="600"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eastAsia="zh-CN"/>
        </w:rPr>
        <w:t>6.</w:t>
      </w:r>
      <w:r>
        <w:rPr>
          <w:rFonts w:hint="default" w:ascii="Times New Roman" w:hAnsi="Times New Roman" w:eastAsia="仿宋_GB2312" w:cs="Times New Roman"/>
          <w:color w:val="auto"/>
          <w:sz w:val="32"/>
          <w:szCs w:val="32"/>
          <w:highlight w:val="none"/>
          <w:u w:val="none"/>
        </w:rPr>
        <w:t>住房公积金。全额预算单位为职工缴纳的住房公积金按在职人员上年工资总额的12%列入预算。</w:t>
      </w:r>
    </w:p>
    <w:p w14:paraId="66B1FC12">
      <w:pPr>
        <w:spacing w:line="600" w:lineRule="exact"/>
        <w:ind w:firstLine="640" w:firstLineChars="200"/>
        <w:rPr>
          <w:rFonts w:hint="default" w:ascii="Times New Roman" w:hAnsi="Times New Roman" w:eastAsia="仿宋_GB2312" w:cs="Times New Roman"/>
          <w:bCs/>
          <w:color w:val="auto"/>
          <w:sz w:val="32"/>
          <w:szCs w:val="32"/>
          <w:highlight w:val="none"/>
          <w:u w:val="none"/>
        </w:rPr>
      </w:pPr>
      <w:r>
        <w:rPr>
          <w:rFonts w:hint="default" w:ascii="Times New Roman" w:hAnsi="Times New Roman" w:eastAsia="仿宋_GB2312" w:cs="Times New Roman"/>
          <w:color w:val="auto"/>
          <w:sz w:val="32"/>
          <w:szCs w:val="32"/>
          <w:highlight w:val="none"/>
          <w:u w:val="none"/>
          <w:lang w:eastAsia="zh-CN"/>
        </w:rPr>
        <w:t>7.</w:t>
      </w:r>
      <w:r>
        <w:rPr>
          <w:rFonts w:hint="default" w:ascii="Times New Roman" w:hAnsi="Times New Roman" w:eastAsia="仿宋_GB2312" w:cs="Times New Roman"/>
          <w:bCs/>
          <w:color w:val="auto"/>
          <w:sz w:val="32"/>
          <w:szCs w:val="32"/>
          <w:highlight w:val="none"/>
          <w:u w:val="none"/>
        </w:rPr>
        <w:t>社会保障缴费。</w:t>
      </w:r>
      <w:r>
        <w:rPr>
          <w:rFonts w:hint="default" w:ascii="Times New Roman" w:hAnsi="Times New Roman" w:eastAsia="仿宋_GB2312" w:cs="Times New Roman"/>
          <w:color w:val="auto"/>
          <w:sz w:val="32"/>
          <w:szCs w:val="32"/>
          <w:highlight w:val="none"/>
          <w:u w:val="none"/>
        </w:rPr>
        <w:t>全额预算单位</w:t>
      </w:r>
      <w:r>
        <w:rPr>
          <w:rFonts w:hint="default" w:ascii="Times New Roman" w:hAnsi="Times New Roman" w:eastAsia="仿宋_GB2312" w:cs="Times New Roman"/>
          <w:bCs/>
          <w:color w:val="auto"/>
          <w:sz w:val="32"/>
          <w:szCs w:val="32"/>
          <w:highlight w:val="none"/>
          <w:u w:val="none"/>
        </w:rPr>
        <w:t>养老保险费按核定的单位缴费工资基数的16%列入预算。</w:t>
      </w:r>
      <w:r>
        <w:rPr>
          <w:rFonts w:hint="default" w:ascii="Times New Roman" w:hAnsi="Times New Roman" w:eastAsia="仿宋_GB2312" w:cs="Times New Roman"/>
          <w:color w:val="auto"/>
          <w:sz w:val="32"/>
          <w:szCs w:val="32"/>
          <w:highlight w:val="none"/>
          <w:u w:val="none"/>
        </w:rPr>
        <w:t>全额预算单位</w:t>
      </w:r>
      <w:r>
        <w:rPr>
          <w:rFonts w:hint="default" w:ascii="Times New Roman" w:hAnsi="Times New Roman" w:eastAsia="仿宋_GB2312" w:cs="Times New Roman"/>
          <w:bCs/>
          <w:color w:val="auto"/>
          <w:sz w:val="32"/>
          <w:szCs w:val="32"/>
          <w:highlight w:val="none"/>
          <w:u w:val="none"/>
        </w:rPr>
        <w:t>医疗保险费</w:t>
      </w:r>
      <w:r>
        <w:rPr>
          <w:rFonts w:hint="default" w:ascii="Times New Roman" w:hAnsi="Times New Roman" w:eastAsia="仿宋_GB2312" w:cs="Times New Roman"/>
          <w:bCs/>
          <w:color w:val="auto"/>
          <w:sz w:val="32"/>
          <w:szCs w:val="32"/>
          <w:highlight w:val="none"/>
          <w:u w:val="none"/>
          <w:lang w:eastAsia="zh-CN"/>
        </w:rPr>
        <w:t>（</w:t>
      </w:r>
      <w:r>
        <w:rPr>
          <w:rFonts w:hint="default" w:ascii="Times New Roman" w:hAnsi="Times New Roman" w:eastAsia="仿宋_GB2312" w:cs="Times New Roman"/>
          <w:bCs/>
          <w:color w:val="auto"/>
          <w:sz w:val="32"/>
          <w:szCs w:val="32"/>
          <w:highlight w:val="none"/>
          <w:u w:val="none"/>
          <w:lang w:val="en-US" w:eastAsia="zh-CN"/>
        </w:rPr>
        <w:t>含生育、工伤保险</w:t>
      </w:r>
      <w:r>
        <w:rPr>
          <w:rFonts w:hint="default" w:ascii="Times New Roman" w:hAnsi="Times New Roman" w:eastAsia="仿宋_GB2312" w:cs="Times New Roman"/>
          <w:bCs/>
          <w:color w:val="auto"/>
          <w:sz w:val="32"/>
          <w:szCs w:val="32"/>
          <w:highlight w:val="none"/>
          <w:u w:val="none"/>
          <w:lang w:eastAsia="zh-CN"/>
        </w:rPr>
        <w:t>）</w:t>
      </w:r>
      <w:r>
        <w:rPr>
          <w:rFonts w:hint="default" w:ascii="Times New Roman" w:hAnsi="Times New Roman" w:eastAsia="仿宋_GB2312" w:cs="Times New Roman"/>
          <w:bCs/>
          <w:color w:val="auto"/>
          <w:sz w:val="32"/>
          <w:szCs w:val="32"/>
          <w:highlight w:val="none"/>
          <w:u w:val="none"/>
        </w:rPr>
        <w:t>按核定的单位缴费工资基数的9.</w:t>
      </w:r>
      <w:r>
        <w:rPr>
          <w:rFonts w:hint="default" w:ascii="Times New Roman" w:hAnsi="Times New Roman" w:eastAsia="仿宋_GB2312" w:cs="Times New Roman"/>
          <w:bCs/>
          <w:color w:val="auto"/>
          <w:sz w:val="32"/>
          <w:szCs w:val="32"/>
          <w:highlight w:val="none"/>
          <w:u w:val="none"/>
          <w:lang w:val="en-US" w:eastAsia="zh-CN"/>
        </w:rPr>
        <w:t>5</w:t>
      </w:r>
      <w:r>
        <w:rPr>
          <w:rFonts w:hint="default" w:ascii="Times New Roman" w:hAnsi="Times New Roman" w:eastAsia="仿宋_GB2312" w:cs="Times New Roman"/>
          <w:bCs/>
          <w:color w:val="auto"/>
          <w:sz w:val="32"/>
          <w:szCs w:val="32"/>
          <w:highlight w:val="none"/>
          <w:u w:val="none"/>
        </w:rPr>
        <w:t>%列入预算，行政单位、参公管理单位补充医疗保险（公务员医疗补助）按核定的单位缴费工资基数的5%列入预算。</w:t>
      </w:r>
    </w:p>
    <w:p w14:paraId="5DD72D67">
      <w:pPr>
        <w:spacing w:line="600"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eastAsia="zh-CN"/>
        </w:rPr>
        <w:t>8.</w:t>
      </w:r>
      <w:r>
        <w:rPr>
          <w:rFonts w:hint="default" w:ascii="Times New Roman" w:hAnsi="Times New Roman" w:eastAsia="仿宋_GB2312" w:cs="Times New Roman"/>
          <w:color w:val="auto"/>
          <w:sz w:val="32"/>
          <w:szCs w:val="32"/>
          <w:highlight w:val="none"/>
          <w:u w:val="none"/>
        </w:rPr>
        <w:t>公益二类事业单位在职人员的社会保障缴费、住房公积金等费用按人年均补助12000元编制。</w:t>
      </w:r>
    </w:p>
    <w:p w14:paraId="52DFEEFB">
      <w:pPr>
        <w:spacing w:line="600"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 w:cs="Times New Roman"/>
          <w:color w:val="auto"/>
          <w:sz w:val="32"/>
          <w:szCs w:val="32"/>
          <w:highlight w:val="none"/>
          <w:u w:val="none"/>
          <w:lang w:eastAsia="zh-CN"/>
        </w:rPr>
        <w:t>9.</w:t>
      </w:r>
      <w:r>
        <w:rPr>
          <w:rFonts w:hint="default" w:ascii="Times New Roman" w:hAnsi="Times New Roman" w:eastAsia="仿宋_GB2312" w:cs="Times New Roman"/>
          <w:color w:val="auto"/>
          <w:sz w:val="32"/>
          <w:szCs w:val="32"/>
          <w:highlight w:val="none"/>
          <w:u w:val="none"/>
        </w:rPr>
        <w:t>离休人员生活补贴。根据省级下发文件，1937年7月6日前参加革命工作的离休干部每人每年增发四个月的基本离休费；1937年7月7日至1942年12月31日参加革命工作的离休干部每人每年增发三个半月的基本离休费；1943年1月1日至1945年9月2日参加革命工作的离休干部每人每年增发三个月的基本离休费；1945年9月3日至1949年9月30日参加革命工作的离休干部每人每年增发二个月的基本离休费。</w:t>
      </w:r>
    </w:p>
    <w:p w14:paraId="60B8954F">
      <w:pPr>
        <w:spacing w:line="600"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eastAsia="zh-CN"/>
        </w:rPr>
        <w:t>10.</w:t>
      </w:r>
      <w:r>
        <w:rPr>
          <w:rFonts w:hint="default" w:ascii="Times New Roman" w:hAnsi="Times New Roman" w:eastAsia="仿宋_GB2312" w:cs="Times New Roman"/>
          <w:color w:val="auto"/>
          <w:sz w:val="32"/>
          <w:szCs w:val="32"/>
          <w:highlight w:val="none"/>
          <w:u w:val="none"/>
        </w:rPr>
        <w:t>离休人员护理费。根据鄂</w:t>
      </w:r>
      <w:r>
        <w:rPr>
          <w:rFonts w:hint="default" w:ascii="Times New Roman" w:hAnsi="Times New Roman" w:eastAsia="仿宋_GB2312" w:cs="Times New Roman"/>
          <w:color w:val="auto"/>
          <w:sz w:val="32"/>
          <w:szCs w:val="32"/>
          <w:highlight w:val="none"/>
          <w:u w:val="none"/>
          <w:lang w:val="en-US" w:eastAsia="zh-CN"/>
        </w:rPr>
        <w:t>老通</w:t>
      </w:r>
      <w:r>
        <w:rPr>
          <w:rFonts w:hint="default" w:ascii="Times New Roman" w:hAnsi="Times New Roman" w:eastAsia="仿宋_GB2312" w:cs="Times New Roman"/>
          <w:color w:val="auto"/>
          <w:sz w:val="32"/>
          <w:szCs w:val="32"/>
          <w:highlight w:val="none"/>
          <w:u w:val="none"/>
        </w:rPr>
        <w:t>〔</w:t>
      </w:r>
      <w:r>
        <w:rPr>
          <w:rFonts w:hint="default" w:ascii="Times New Roman" w:hAnsi="Times New Roman" w:eastAsia="仿宋_GB2312" w:cs="Times New Roman"/>
          <w:color w:val="auto"/>
          <w:sz w:val="32"/>
          <w:szCs w:val="32"/>
          <w:highlight w:val="none"/>
          <w:u w:val="none"/>
          <w:lang w:val="en-US" w:eastAsia="zh-CN"/>
        </w:rPr>
        <w:t>2024</w:t>
      </w:r>
      <w:r>
        <w:rPr>
          <w:rFonts w:hint="default" w:ascii="Times New Roman" w:hAnsi="Times New Roman" w:eastAsia="仿宋_GB2312" w:cs="Times New Roman"/>
          <w:color w:val="auto"/>
          <w:sz w:val="32"/>
          <w:szCs w:val="32"/>
          <w:highlight w:val="none"/>
          <w:u w:val="none"/>
        </w:rPr>
        <w:t>〕5号，1937年7月6日前参加革命工作的离休干部每人每月</w:t>
      </w:r>
      <w:r>
        <w:rPr>
          <w:rFonts w:hint="default" w:ascii="Times New Roman" w:hAnsi="Times New Roman" w:eastAsia="仿宋_GB2312" w:cs="Times New Roman"/>
          <w:color w:val="auto"/>
          <w:sz w:val="32"/>
          <w:szCs w:val="32"/>
          <w:highlight w:val="none"/>
          <w:u w:val="none"/>
          <w:lang w:val="en-US" w:eastAsia="zh-CN"/>
        </w:rPr>
        <w:t>5400</w:t>
      </w:r>
      <w:r>
        <w:rPr>
          <w:rFonts w:hint="default" w:ascii="Times New Roman" w:hAnsi="Times New Roman" w:eastAsia="仿宋_GB2312" w:cs="Times New Roman"/>
          <w:color w:val="auto"/>
          <w:sz w:val="32"/>
          <w:szCs w:val="32"/>
          <w:highlight w:val="none"/>
          <w:u w:val="none"/>
        </w:rPr>
        <w:t>元；1937年7月7日至1945年9月2日参加革命工作的离休干部每人每月</w:t>
      </w:r>
      <w:r>
        <w:rPr>
          <w:rFonts w:hint="default" w:ascii="Times New Roman" w:hAnsi="Times New Roman" w:eastAsia="仿宋_GB2312" w:cs="Times New Roman"/>
          <w:color w:val="auto"/>
          <w:sz w:val="32"/>
          <w:szCs w:val="32"/>
          <w:highlight w:val="none"/>
          <w:u w:val="none"/>
          <w:lang w:val="en-US" w:eastAsia="zh-CN"/>
        </w:rPr>
        <w:t>4600</w:t>
      </w:r>
      <w:r>
        <w:rPr>
          <w:rFonts w:hint="default" w:ascii="Times New Roman" w:hAnsi="Times New Roman" w:eastAsia="仿宋_GB2312" w:cs="Times New Roman"/>
          <w:color w:val="auto"/>
          <w:sz w:val="32"/>
          <w:szCs w:val="32"/>
          <w:highlight w:val="none"/>
          <w:u w:val="none"/>
        </w:rPr>
        <w:t>元；1945年9月3日至1949年9月30日参加革命工作的离休干部每人每月</w:t>
      </w:r>
      <w:r>
        <w:rPr>
          <w:rFonts w:hint="default" w:ascii="Times New Roman" w:hAnsi="Times New Roman" w:eastAsia="仿宋_GB2312" w:cs="Times New Roman"/>
          <w:color w:val="auto"/>
          <w:sz w:val="32"/>
          <w:szCs w:val="32"/>
          <w:highlight w:val="none"/>
          <w:u w:val="none"/>
          <w:lang w:val="en-US" w:eastAsia="zh-CN"/>
        </w:rPr>
        <w:t>3800</w:t>
      </w:r>
      <w:r>
        <w:rPr>
          <w:rFonts w:hint="default" w:ascii="Times New Roman" w:hAnsi="Times New Roman" w:eastAsia="仿宋_GB2312" w:cs="Times New Roman"/>
          <w:color w:val="auto"/>
          <w:sz w:val="32"/>
          <w:szCs w:val="32"/>
          <w:highlight w:val="none"/>
          <w:u w:val="none"/>
        </w:rPr>
        <w:t>元。已享受自雇费的离休干部，不重复享受护理费。</w:t>
      </w:r>
    </w:p>
    <w:p w14:paraId="3CBD948E">
      <w:pPr>
        <w:spacing w:line="600"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eastAsia="zh-CN"/>
        </w:rPr>
        <w:t>11.</w:t>
      </w:r>
      <w:r>
        <w:rPr>
          <w:rFonts w:hint="default" w:ascii="Times New Roman" w:hAnsi="Times New Roman" w:eastAsia="仿宋_GB2312" w:cs="Times New Roman"/>
          <w:bCs/>
          <w:color w:val="auto"/>
          <w:sz w:val="32"/>
          <w:szCs w:val="32"/>
          <w:highlight w:val="none"/>
          <w:u w:val="none"/>
        </w:rPr>
        <w:t>遗属补助</w:t>
      </w:r>
      <w:r>
        <w:rPr>
          <w:rFonts w:hint="default" w:ascii="Times New Roman" w:hAnsi="Times New Roman" w:eastAsia="仿宋_GB2312" w:cs="Times New Roman"/>
          <w:color w:val="auto"/>
          <w:sz w:val="32"/>
          <w:szCs w:val="32"/>
          <w:highlight w:val="none"/>
          <w:u w:val="none"/>
        </w:rPr>
        <w:t>按人社部门核定人数和标准列入预算。</w:t>
      </w:r>
    </w:p>
    <w:p w14:paraId="765A5438">
      <w:pPr>
        <w:tabs>
          <w:tab w:val="center" w:pos="4473"/>
        </w:tabs>
        <w:spacing w:line="600" w:lineRule="exact"/>
        <w:ind w:firstLine="640" w:firstLineChars="200"/>
        <w:rPr>
          <w:rFonts w:hint="default" w:ascii="Times New Roman" w:hAnsi="Times New Roman" w:eastAsia="楷体" w:cs="Times New Roman"/>
          <w:color w:val="auto"/>
          <w:sz w:val="32"/>
          <w:szCs w:val="32"/>
          <w:highlight w:val="none"/>
          <w:u w:val="none"/>
        </w:rPr>
      </w:pPr>
      <w:r>
        <w:rPr>
          <w:rFonts w:hint="default" w:ascii="Times New Roman" w:hAnsi="Times New Roman" w:eastAsia="楷体" w:cs="Times New Roman"/>
          <w:color w:val="auto"/>
          <w:sz w:val="32"/>
          <w:szCs w:val="32"/>
          <w:highlight w:val="none"/>
          <w:u w:val="none"/>
        </w:rPr>
        <w:t>（二）运转类公用经费项目</w:t>
      </w:r>
      <w:r>
        <w:rPr>
          <w:rFonts w:hint="default" w:ascii="Times New Roman" w:hAnsi="Times New Roman" w:eastAsia="楷体" w:cs="Times New Roman"/>
          <w:color w:val="auto"/>
          <w:sz w:val="32"/>
          <w:szCs w:val="32"/>
          <w:highlight w:val="none"/>
          <w:u w:val="none"/>
        </w:rPr>
        <w:tab/>
      </w:r>
    </w:p>
    <w:p w14:paraId="0A3C1242">
      <w:pPr>
        <w:spacing w:line="600" w:lineRule="exact"/>
        <w:ind w:firstLine="640" w:firstLineChars="200"/>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rPr>
        <w:t>公用经费项目包括商品和服务支出等。</w:t>
      </w:r>
      <w:r>
        <w:rPr>
          <w:rFonts w:hint="default" w:ascii="Times New Roman" w:hAnsi="Times New Roman" w:eastAsia="仿宋_GB2312" w:cs="Times New Roman"/>
          <w:bCs/>
          <w:color w:val="auto"/>
          <w:sz w:val="32"/>
          <w:szCs w:val="32"/>
          <w:highlight w:val="none"/>
          <w:u w:val="none"/>
        </w:rPr>
        <w:t>行政、参</w:t>
      </w:r>
      <w:r>
        <w:rPr>
          <w:rFonts w:hint="default" w:ascii="Times New Roman" w:hAnsi="Times New Roman" w:eastAsia="仿宋_GB2312" w:cs="Times New Roman"/>
          <w:color w:val="auto"/>
          <w:sz w:val="32"/>
          <w:szCs w:val="32"/>
          <w:highlight w:val="none"/>
          <w:u w:val="none"/>
        </w:rPr>
        <w:t>公单位和公益一类事业单位按一般公用经费综合定额加其余单项定额标准执行，各类学校按生均公用经费总额执行，</w:t>
      </w:r>
      <w:r>
        <w:rPr>
          <w:rFonts w:hint="default" w:ascii="Times New Roman" w:hAnsi="Times New Roman" w:eastAsia="仿宋_GB2312" w:cs="Times New Roman"/>
          <w:color w:val="auto"/>
          <w:sz w:val="32"/>
          <w:szCs w:val="32"/>
          <w:highlight w:val="none"/>
          <w:u w:val="none"/>
          <w:lang w:val="en-US" w:eastAsia="zh-CN"/>
        </w:rPr>
        <w:t>非定额补助的公益二类事业单位参照标准纳入非税收入或单位自有资金预算。</w:t>
      </w:r>
    </w:p>
    <w:p w14:paraId="767BE206">
      <w:pPr>
        <w:pStyle w:val="4"/>
        <w:ind w:left="0" w:leftChars="0" w:firstLine="640" w:firstLineChars="200"/>
        <w:rPr>
          <w:rFonts w:hint="default" w:ascii="Times New Roman" w:hAnsi="Times New Roman" w:cs="Times New Roman"/>
          <w:lang w:val="en-US" w:eastAsia="zh-CN"/>
        </w:rPr>
      </w:pPr>
      <w:r>
        <w:rPr>
          <w:rFonts w:hint="default" w:ascii="Times New Roman" w:hAnsi="Times New Roman" w:eastAsia="仿宋_GB2312" w:cs="Times New Roman"/>
          <w:color w:val="auto"/>
          <w:sz w:val="32"/>
          <w:szCs w:val="32"/>
          <w:highlight w:val="none"/>
          <w:u w:val="none"/>
          <w:lang w:val="en-US" w:eastAsia="zh-CN"/>
        </w:rPr>
        <w:t>根据《鄂州市深化零基预算改革实施方案》（鄂州政发〔2025〕5号）要求，要推进支出标准建设，完善公用经费、通用经费支出标准，强化支出标准应用，将支出标准作为预算安排的基本依据。公用经费支出标准待市级正式出台后，报区管委会研定再另行发文</w:t>
      </w:r>
      <w:r>
        <w:rPr>
          <w:rFonts w:hint="eastAsia" w:ascii="Times New Roman" w:hAnsi="Times New Roman" w:eastAsia="仿宋_GB2312" w:cs="Times New Roman"/>
          <w:color w:val="auto"/>
          <w:sz w:val="32"/>
          <w:szCs w:val="32"/>
          <w:highlight w:val="none"/>
          <w:u w:val="none"/>
          <w:lang w:val="en-US" w:eastAsia="zh-CN"/>
        </w:rPr>
        <w:t>。</w:t>
      </w:r>
    </w:p>
    <w:p w14:paraId="2ED13C86">
      <w:pPr>
        <w:spacing w:line="600" w:lineRule="exact"/>
        <w:ind w:firstLine="640" w:firstLineChars="200"/>
        <w:rPr>
          <w:rFonts w:hint="default" w:ascii="Times New Roman" w:hAnsi="Times New Roman" w:eastAsia="楷体" w:cs="Times New Roman"/>
          <w:color w:val="auto"/>
          <w:sz w:val="32"/>
          <w:szCs w:val="32"/>
          <w:highlight w:val="none"/>
          <w:u w:val="none"/>
        </w:rPr>
      </w:pPr>
      <w:r>
        <w:rPr>
          <w:rFonts w:hint="default" w:ascii="Times New Roman" w:hAnsi="Times New Roman" w:eastAsia="楷体" w:cs="Times New Roman"/>
          <w:color w:val="auto"/>
          <w:sz w:val="32"/>
          <w:szCs w:val="32"/>
          <w:highlight w:val="none"/>
          <w:u w:val="none"/>
        </w:rPr>
        <w:t>（三）其他运转类项目及特定目标类项目</w:t>
      </w:r>
    </w:p>
    <w:p w14:paraId="01C4D4A1">
      <w:pPr>
        <w:spacing w:line="600" w:lineRule="exact"/>
        <w:ind w:firstLine="643" w:firstLineChars="200"/>
        <w:rPr>
          <w:rFonts w:hint="default" w:ascii="Times New Roman" w:hAnsi="Times New Roman" w:eastAsia="仿宋_GB2312" w:cs="Times New Roman"/>
          <w:b/>
          <w:bCs/>
          <w:color w:val="auto"/>
          <w:sz w:val="32"/>
          <w:szCs w:val="32"/>
          <w:highlight w:val="none"/>
          <w:u w:val="none"/>
        </w:rPr>
      </w:pPr>
      <w:r>
        <w:rPr>
          <w:rFonts w:hint="default" w:ascii="Times New Roman" w:hAnsi="Times New Roman" w:eastAsia="仿宋_GB2312" w:cs="Times New Roman"/>
          <w:b/>
          <w:bCs/>
          <w:color w:val="auto"/>
          <w:sz w:val="32"/>
          <w:szCs w:val="32"/>
          <w:highlight w:val="none"/>
          <w:u w:val="none"/>
          <w:lang w:eastAsia="zh-CN"/>
        </w:rPr>
        <w:t>1.</w:t>
      </w:r>
      <w:r>
        <w:rPr>
          <w:rFonts w:hint="default" w:ascii="Times New Roman" w:hAnsi="Times New Roman" w:eastAsia="仿宋_GB2312" w:cs="Times New Roman"/>
          <w:b/>
          <w:bCs/>
          <w:color w:val="auto"/>
          <w:sz w:val="32"/>
          <w:szCs w:val="32"/>
          <w:highlight w:val="none"/>
          <w:u w:val="none"/>
        </w:rPr>
        <w:t>项目类型</w:t>
      </w:r>
    </w:p>
    <w:p w14:paraId="0CECB902">
      <w:pPr>
        <w:spacing w:line="600"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预算项目按类型分为常年性项目、延续性项目和一次性项目。</w:t>
      </w:r>
    </w:p>
    <w:p w14:paraId="6591ADA2">
      <w:pPr>
        <w:spacing w:line="600"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常年性项目：指预算单位为维持正常运转或履行常例性工作职能，在每个预算年度都需要发生的项目。</w:t>
      </w:r>
    </w:p>
    <w:p w14:paraId="7BCBADDD">
      <w:pPr>
        <w:spacing w:line="600"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延续性项目：指预算单位为完成其特定行政工作任务和事业发展任务，经批准并已明确分年度预算，需在本年度安排的项目。</w:t>
      </w:r>
    </w:p>
    <w:p w14:paraId="4F91AA9C">
      <w:pPr>
        <w:spacing w:line="600"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一次性项目：指在预算年度内一次性安排完成的项目。</w:t>
      </w:r>
    </w:p>
    <w:p w14:paraId="3F11DA86">
      <w:pPr>
        <w:spacing w:line="600" w:lineRule="exact"/>
        <w:ind w:firstLine="643" w:firstLineChars="200"/>
        <w:rPr>
          <w:rFonts w:hint="default" w:ascii="Times New Roman" w:hAnsi="Times New Roman" w:eastAsia="仿宋_GB2312" w:cs="Times New Roman"/>
          <w:b/>
          <w:bCs/>
          <w:color w:val="auto"/>
          <w:sz w:val="32"/>
          <w:szCs w:val="32"/>
          <w:highlight w:val="none"/>
          <w:u w:val="none"/>
        </w:rPr>
      </w:pPr>
      <w:r>
        <w:rPr>
          <w:rFonts w:hint="default" w:ascii="Times New Roman" w:hAnsi="Times New Roman" w:eastAsia="仿宋_GB2312" w:cs="Times New Roman"/>
          <w:b/>
          <w:bCs/>
          <w:color w:val="auto"/>
          <w:sz w:val="32"/>
          <w:szCs w:val="32"/>
          <w:highlight w:val="none"/>
          <w:u w:val="none"/>
          <w:lang w:eastAsia="zh-CN"/>
        </w:rPr>
        <w:t>2.</w:t>
      </w:r>
      <w:r>
        <w:rPr>
          <w:rFonts w:hint="default" w:ascii="Times New Roman" w:hAnsi="Times New Roman" w:eastAsia="仿宋_GB2312" w:cs="Times New Roman"/>
          <w:b/>
          <w:bCs/>
          <w:color w:val="auto"/>
          <w:sz w:val="32"/>
          <w:szCs w:val="32"/>
          <w:highlight w:val="none"/>
          <w:u w:val="none"/>
        </w:rPr>
        <w:t>项目属性</w:t>
      </w:r>
    </w:p>
    <w:p w14:paraId="10777F7E">
      <w:pPr>
        <w:spacing w:line="600"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预算项目按属性分为持续性项目和新增性项目。</w:t>
      </w:r>
    </w:p>
    <w:p w14:paraId="001B69B1">
      <w:pPr>
        <w:spacing w:line="600"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持续性项目：指在每个预算年度或分年度发生的项目。持续性项目分为常年性项目和延续性项目。</w:t>
      </w:r>
    </w:p>
    <w:p w14:paraId="3EA18071">
      <w:pPr>
        <w:spacing w:line="600"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新增性项目：指本年度新增的需要列入预算安排的项目。新增性项目分为新增的一次性项目、常年性项目和延续性项目。</w:t>
      </w:r>
    </w:p>
    <w:p w14:paraId="61D99DC0">
      <w:pPr>
        <w:spacing w:line="600" w:lineRule="exact"/>
        <w:ind w:firstLine="643" w:firstLineChars="200"/>
        <w:rPr>
          <w:rFonts w:hint="default" w:ascii="Times New Roman" w:hAnsi="Times New Roman" w:eastAsia="仿宋_GB2312" w:cs="Times New Roman"/>
          <w:b/>
          <w:bCs/>
          <w:color w:val="auto"/>
          <w:sz w:val="32"/>
          <w:szCs w:val="32"/>
          <w:highlight w:val="none"/>
          <w:u w:val="none"/>
        </w:rPr>
      </w:pPr>
      <w:r>
        <w:rPr>
          <w:rFonts w:hint="default" w:ascii="Times New Roman" w:hAnsi="Times New Roman" w:eastAsia="仿宋_GB2312" w:cs="Times New Roman"/>
          <w:b/>
          <w:bCs/>
          <w:color w:val="auto"/>
          <w:sz w:val="32"/>
          <w:szCs w:val="32"/>
          <w:highlight w:val="none"/>
          <w:u w:val="none"/>
          <w:lang w:eastAsia="zh-CN"/>
        </w:rPr>
        <w:t>3.</w:t>
      </w:r>
      <w:r>
        <w:rPr>
          <w:rFonts w:hint="default" w:ascii="Times New Roman" w:hAnsi="Times New Roman" w:eastAsia="仿宋_GB2312" w:cs="Times New Roman"/>
          <w:b/>
          <w:bCs/>
          <w:color w:val="auto"/>
          <w:sz w:val="32"/>
          <w:szCs w:val="32"/>
          <w:highlight w:val="none"/>
          <w:u w:val="none"/>
        </w:rPr>
        <w:t>项目要求</w:t>
      </w:r>
    </w:p>
    <w:p w14:paraId="785A2334">
      <w:pPr>
        <w:spacing w:line="600"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各预算单位凡申报进入财政项目库的二级项目须有充分的立项依据、明确的实施期限、合理的预算需求，要进行充分的可行性论证、行政决策程序和绩效目标审核，未通过审核的二级项目不得纳入财政项目库备选。</w:t>
      </w:r>
    </w:p>
    <w:p w14:paraId="0EBB4DD2">
      <w:pPr>
        <w:spacing w:line="600" w:lineRule="exact"/>
        <w:ind w:firstLine="640" w:firstLineChars="200"/>
        <w:rPr>
          <w:rFonts w:hint="default" w:ascii="Times New Roman" w:hAnsi="Times New Roman" w:eastAsia="仿宋_GB2312" w:cs="Times New Roman"/>
          <w:b/>
          <w:color w:val="auto"/>
          <w:sz w:val="32"/>
          <w:szCs w:val="32"/>
          <w:highlight w:val="none"/>
          <w:u w:val="none"/>
        </w:rPr>
      </w:pPr>
      <w:r>
        <w:rPr>
          <w:rFonts w:hint="default" w:ascii="Times New Roman" w:hAnsi="Times New Roman" w:eastAsia="仿宋_GB2312" w:cs="Times New Roman"/>
          <w:color w:val="auto"/>
          <w:sz w:val="32"/>
          <w:szCs w:val="32"/>
          <w:highlight w:val="none"/>
          <w:u w:val="none"/>
        </w:rPr>
        <w:t>各预算单位纳入当年预算的二级项目必须从财政项目库中选取，依据财力优先保障部门基本运转和基本公共服务支出，重点保障国民经济和社会发展规划、财政中长期规划以及有关的财政经济政策，中央、省相关政策文件中明确的支出政策和市委、市政府</w:t>
      </w:r>
      <w:r>
        <w:rPr>
          <w:rFonts w:hint="eastAsia"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val="en-US" w:eastAsia="zh-CN"/>
        </w:rPr>
        <w:t>区管委会</w:t>
      </w:r>
      <w:r>
        <w:rPr>
          <w:rFonts w:hint="default" w:ascii="Times New Roman" w:hAnsi="Times New Roman" w:eastAsia="仿宋_GB2312" w:cs="Times New Roman"/>
          <w:color w:val="auto"/>
          <w:sz w:val="32"/>
          <w:szCs w:val="32"/>
          <w:highlight w:val="none"/>
          <w:u w:val="none"/>
        </w:rPr>
        <w:t>确定需执行的支出政策。</w:t>
      </w:r>
    </w:p>
    <w:p w14:paraId="44A1F0BA">
      <w:pPr>
        <w:spacing w:line="600" w:lineRule="exact"/>
        <w:ind w:firstLine="643" w:firstLineChars="200"/>
        <w:rPr>
          <w:rFonts w:hint="default" w:ascii="Times New Roman" w:hAnsi="Times New Roman" w:eastAsia="仿宋_GB2312" w:cs="Times New Roman"/>
          <w:b/>
          <w:bCs/>
          <w:color w:val="auto"/>
          <w:sz w:val="32"/>
          <w:szCs w:val="32"/>
          <w:highlight w:val="none"/>
          <w:u w:val="none"/>
        </w:rPr>
      </w:pPr>
      <w:r>
        <w:rPr>
          <w:rFonts w:hint="default" w:ascii="Times New Roman" w:hAnsi="Times New Roman" w:eastAsia="仿宋_GB2312" w:cs="Times New Roman"/>
          <w:b/>
          <w:bCs/>
          <w:color w:val="auto"/>
          <w:sz w:val="32"/>
          <w:szCs w:val="32"/>
          <w:highlight w:val="none"/>
          <w:u w:val="none"/>
          <w:lang w:eastAsia="zh-CN"/>
        </w:rPr>
        <w:t>4.</w:t>
      </w:r>
      <w:r>
        <w:rPr>
          <w:rFonts w:hint="default" w:ascii="Times New Roman" w:hAnsi="Times New Roman" w:eastAsia="仿宋_GB2312" w:cs="Times New Roman"/>
          <w:b/>
          <w:bCs/>
          <w:color w:val="auto"/>
          <w:sz w:val="32"/>
          <w:szCs w:val="32"/>
          <w:highlight w:val="none"/>
          <w:u w:val="none"/>
        </w:rPr>
        <w:t>公立医院改革项目</w:t>
      </w:r>
    </w:p>
    <w:p w14:paraId="5A2C71C4">
      <w:pPr>
        <w:spacing w:line="600" w:lineRule="exact"/>
        <w:ind w:firstLine="640" w:firstLineChars="200"/>
        <w:rPr>
          <w:rFonts w:hint="default"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lang w:val="en-US" w:eastAsia="zh-CN"/>
        </w:rPr>
        <w:t>乡镇卫生院</w:t>
      </w:r>
      <w:r>
        <w:rPr>
          <w:rFonts w:hint="default" w:ascii="Times New Roman" w:hAnsi="Times New Roman" w:eastAsia="仿宋_GB2312" w:cs="Times New Roman"/>
          <w:color w:val="auto"/>
          <w:sz w:val="32"/>
          <w:szCs w:val="32"/>
          <w:highlight w:val="none"/>
          <w:u w:val="none"/>
        </w:rPr>
        <w:t>按公立医院改革的要求编制项目其他运转类项目及特定目标类项目支出预算。根据中共中央、国务院《关于深化</w:t>
      </w:r>
      <w:r>
        <w:rPr>
          <w:rFonts w:hint="default" w:ascii="Times New Roman" w:hAnsi="Times New Roman" w:eastAsia="仿宋_GB2312" w:cs="Times New Roman"/>
          <w:color w:val="auto"/>
          <w:sz w:val="32"/>
          <w:szCs w:val="32"/>
          <w:highlight w:val="none"/>
          <w:u w:val="none"/>
        </w:rPr>
        <w:fldChar w:fldCharType="begin"/>
      </w:r>
      <w:r>
        <w:rPr>
          <w:rFonts w:hint="default" w:ascii="Times New Roman" w:hAnsi="Times New Roman" w:eastAsia="仿宋_GB2312" w:cs="Times New Roman"/>
          <w:color w:val="auto"/>
          <w:sz w:val="32"/>
          <w:szCs w:val="32"/>
          <w:highlight w:val="none"/>
          <w:u w:val="none"/>
        </w:rPr>
        <w:instrText xml:space="preserve"> HYPERLINK "http://www.zgylbx.com/show.php?contentid=44023" \t "_blank" </w:instrText>
      </w:r>
      <w:r>
        <w:rPr>
          <w:rFonts w:hint="default" w:ascii="Times New Roman" w:hAnsi="Times New Roman" w:eastAsia="仿宋_GB2312" w:cs="Times New Roman"/>
          <w:color w:val="auto"/>
          <w:sz w:val="32"/>
          <w:szCs w:val="32"/>
          <w:highlight w:val="none"/>
          <w:u w:val="none"/>
        </w:rPr>
        <w:fldChar w:fldCharType="separate"/>
      </w:r>
      <w:r>
        <w:rPr>
          <w:rFonts w:hint="default" w:ascii="Times New Roman" w:hAnsi="Times New Roman" w:eastAsia="仿宋_GB2312" w:cs="Times New Roman"/>
          <w:color w:val="auto"/>
          <w:sz w:val="32"/>
          <w:szCs w:val="32"/>
          <w:highlight w:val="none"/>
          <w:u w:val="none"/>
        </w:rPr>
        <w:t>医药卫生体制改革</w:t>
      </w:r>
      <w:r>
        <w:rPr>
          <w:rFonts w:hint="default" w:ascii="Times New Roman" w:hAnsi="Times New Roman" w:eastAsia="仿宋_GB2312" w:cs="Times New Roman"/>
          <w:color w:val="auto"/>
          <w:sz w:val="32"/>
          <w:szCs w:val="32"/>
          <w:highlight w:val="none"/>
          <w:u w:val="none"/>
        </w:rPr>
        <w:fldChar w:fldCharType="end"/>
      </w:r>
      <w:r>
        <w:rPr>
          <w:rFonts w:hint="default" w:ascii="Times New Roman" w:hAnsi="Times New Roman" w:eastAsia="仿宋_GB2312" w:cs="Times New Roman"/>
          <w:color w:val="auto"/>
          <w:sz w:val="32"/>
          <w:szCs w:val="32"/>
          <w:highlight w:val="none"/>
          <w:u w:val="none"/>
        </w:rPr>
        <w:t>的意见》（中发）〔2009〕6号）和财政部等五部委《关于完善政府卫生投入政策的意见》（财社〔2009〕66号）规定，重点保障基本建设、设备购置、重点学科发展、符合国家规定的离退休人员费用和补贴政策性亏损等项目。</w:t>
      </w:r>
    </w:p>
    <w:p w14:paraId="5C443ED0">
      <w:bookmarkStart w:id="0" w:name="_GoBack"/>
      <w:bookmarkEnd w:id="0"/>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B8E"/>
    <w:rsid w:val="002E7B8E"/>
    <w:rsid w:val="005D0B05"/>
    <w:rsid w:val="008E5DA3"/>
    <w:rsid w:val="009A5AC4"/>
    <w:rsid w:val="0FBE6E49"/>
    <w:rsid w:val="1A6F0DFE"/>
    <w:rsid w:val="3E217087"/>
    <w:rsid w:val="72D41A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等线"/>
      <w:kern w:val="2"/>
      <w:sz w:val="21"/>
      <w:szCs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7"/>
    <w:qFormat/>
    <w:uiPriority w:val="10"/>
    <w:pPr>
      <w:spacing w:before="240" w:after="60"/>
      <w:jc w:val="center"/>
      <w:outlineLvl w:val="0"/>
    </w:pPr>
    <w:rPr>
      <w:rFonts w:asciiTheme="majorHAnsi" w:hAnsiTheme="majorHAnsi" w:eastAsiaTheme="majorEastAsia" w:cstheme="majorBidi"/>
      <w:b/>
      <w:bCs/>
      <w:sz w:val="32"/>
      <w:szCs w:val="32"/>
    </w:rPr>
  </w:style>
  <w:style w:type="paragraph" w:styleId="3">
    <w:name w:val="Body Text Indent"/>
    <w:basedOn w:val="1"/>
    <w:next w:val="4"/>
    <w:qFormat/>
    <w:uiPriority w:val="0"/>
    <w:pPr>
      <w:ind w:left="420" w:leftChars="200"/>
    </w:pPr>
  </w:style>
  <w:style w:type="paragraph" w:styleId="4">
    <w:name w:val="Body Text First Indent 2"/>
    <w:basedOn w:val="3"/>
    <w:next w:val="1"/>
    <w:qFormat/>
    <w:uiPriority w:val="0"/>
    <w:pPr>
      <w:ind w:firstLine="420" w:firstLineChars="200"/>
    </w:pPr>
  </w:style>
  <w:style w:type="character" w:customStyle="1" w:styleId="7">
    <w:name w:val="标题 字符"/>
    <w:basedOn w:val="6"/>
    <w:link w:val="2"/>
    <w:qFormat/>
    <w:uiPriority w:val="10"/>
    <w:rPr>
      <w:rFonts w:asciiTheme="majorHAnsi" w:hAnsiTheme="majorHAnsi" w:eastAsiaTheme="majorEastAsia" w:cstheme="majorBidi"/>
      <w:b/>
      <w:bCs/>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2834</Words>
  <Characters>2972</Characters>
  <Lines>25</Lines>
  <Paragraphs>7</Paragraphs>
  <TotalTime>0</TotalTime>
  <ScaleCrop>false</ScaleCrop>
  <LinksUpToDate>false</LinksUpToDate>
  <CharactersWithSpaces>2973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2025-10-08T05:51:00Z</dcterms:created>
  <dc:creator>小冬</dc:creator>
  <cp:lastModifiedBy>哎哟喂.</cp:lastModifiedBy>
  <dcterms:modified xsi:type="dcterms:W3CDTF">2025-10-31T09:19:26Z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eyJoZGlkIjoiY2QxNmY3Njg3NThiZDI3ZTUzNTk3M2FlMGFlM2ZkOGEiLCJ1c2VySWQiOiIzNjkxNjIxNzUifQ==</vt:lpwstr>
  </property>
  <property fmtid="{D5CDD505-2E9C-101B-9397-08002B2CF9AE}" pid="3" name="KSOProductBuildVer">
    <vt:lpwstr>2052-12.1.0.23125</vt:lpwstr>
  </property>
  <property fmtid="{D5CDD505-2E9C-101B-9397-08002B2CF9AE}" pid="4" name="ICV">
    <vt:lpwstr>2256DA26CF45453499B610324E57C104_12</vt:lpwstr>
  </property>
</Properties>
</file>