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44"/>
          <w:lang w:val="en-US" w:eastAsia="zh-CN"/>
        </w:rPr>
      </w:pPr>
      <w:bookmarkStart w:id="0" w:name="_GoBack"/>
      <w:r>
        <w:rPr>
          <w:rFonts w:hint="eastAsia" w:ascii="方正小标宋简体" w:hAnsi="方正小标宋简体" w:eastAsia="方正小标宋简体" w:cs="方正小标宋简体"/>
          <w:sz w:val="36"/>
          <w:szCs w:val="44"/>
          <w:lang w:val="en-US" w:eastAsia="zh-CN"/>
        </w:rPr>
        <w:t>临空经济区校外培训机构“白、灰、黑”名单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44"/>
          <w:lang w:val="en-US" w:eastAsia="zh-CN"/>
        </w:rPr>
      </w:pPr>
      <w:r>
        <w:rPr>
          <w:rFonts w:hint="eastAsia" w:ascii="方正小标宋简体" w:hAnsi="方正小标宋简体" w:eastAsia="方正小标宋简体" w:cs="方正小标宋简体"/>
          <w:sz w:val="36"/>
          <w:szCs w:val="44"/>
          <w:lang w:val="en-US" w:eastAsia="zh-CN"/>
        </w:rPr>
        <w:t>（第一批）</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36"/>
          <w:szCs w:val="44"/>
          <w:lang w:val="en-US" w:eastAsia="zh-CN"/>
        </w:rPr>
      </w:pPr>
    </w:p>
    <w:tbl>
      <w:tblPr>
        <w:tblStyle w:val="3"/>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176"/>
        <w:gridCol w:w="2490"/>
        <w:gridCol w:w="1258"/>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38" w:type="dxa"/>
            <w:gridSpan w:val="5"/>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40"/>
                <w:vertAlign w:val="baseline"/>
                <w:lang w:val="en-US" w:eastAsia="zh-CN"/>
              </w:rPr>
            </w:pPr>
            <w:r>
              <w:rPr>
                <w:rFonts w:hint="eastAsia" w:ascii="黑体" w:hAnsi="黑体" w:eastAsia="黑体" w:cs="黑体"/>
                <w:sz w:val="32"/>
                <w:szCs w:val="40"/>
                <w:vertAlign w:val="baseline"/>
                <w:lang w:val="en-US" w:eastAsia="zh-CN"/>
              </w:rPr>
              <w:t>校外培训机构“白”名单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序号</w:t>
            </w:r>
          </w:p>
        </w:tc>
        <w:tc>
          <w:tcPr>
            <w:tcW w:w="2176"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机构名称</w:t>
            </w:r>
          </w:p>
        </w:tc>
        <w:tc>
          <w:tcPr>
            <w:tcW w:w="2490"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培训地址</w:t>
            </w:r>
          </w:p>
        </w:tc>
        <w:tc>
          <w:tcPr>
            <w:tcW w:w="1258"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培训类别</w:t>
            </w:r>
          </w:p>
        </w:tc>
        <w:tc>
          <w:tcPr>
            <w:tcW w:w="1954"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0"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76"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鄂州市燕矶镇</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中苑画室</w:t>
            </w:r>
          </w:p>
        </w:tc>
        <w:tc>
          <w:tcPr>
            <w:tcW w:w="2490"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i w:val="0"/>
                <w:iCs w:val="0"/>
                <w:caps w:val="0"/>
                <w:color w:val="000000"/>
                <w:spacing w:val="0"/>
                <w:sz w:val="24"/>
                <w:szCs w:val="24"/>
                <w:shd w:val="clear" w:fill="FFFFFF"/>
              </w:rPr>
              <w:t>燕矶镇燕矶村4组周家坟头14号</w:t>
            </w:r>
          </w:p>
        </w:tc>
        <w:tc>
          <w:tcPr>
            <w:tcW w:w="1258"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非学科</w:t>
            </w:r>
          </w:p>
        </w:tc>
        <w:tc>
          <w:tcPr>
            <w:tcW w:w="1954"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0"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76"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rPr>
              <w:t>鄂州市欢乐舞蹈</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i w:val="0"/>
                <w:iCs w:val="0"/>
                <w:caps w:val="0"/>
                <w:color w:val="000000"/>
                <w:spacing w:val="0"/>
                <w:sz w:val="24"/>
                <w:szCs w:val="24"/>
                <w:shd w:val="clear" w:fill="FFFFFF"/>
              </w:rPr>
              <w:t>培训中心</w:t>
            </w:r>
          </w:p>
        </w:tc>
        <w:tc>
          <w:tcPr>
            <w:tcW w:w="2490"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i w:val="0"/>
                <w:iCs w:val="0"/>
                <w:caps w:val="0"/>
                <w:color w:val="000000"/>
                <w:spacing w:val="0"/>
                <w:sz w:val="24"/>
                <w:szCs w:val="24"/>
                <w:shd w:val="clear" w:fill="FFFFFF"/>
              </w:rPr>
              <w:t>鄂州市燕矶镇燕矶村二组</w:t>
            </w:r>
          </w:p>
        </w:tc>
        <w:tc>
          <w:tcPr>
            <w:tcW w:w="1258"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非学科</w:t>
            </w:r>
          </w:p>
        </w:tc>
        <w:tc>
          <w:tcPr>
            <w:tcW w:w="1954"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0"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76"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rPr>
              <w:t>鄂城区杨叶炫舞</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i w:val="0"/>
                <w:iCs w:val="0"/>
                <w:caps w:val="0"/>
                <w:color w:val="000000"/>
                <w:spacing w:val="0"/>
                <w:sz w:val="24"/>
                <w:szCs w:val="24"/>
                <w:shd w:val="clear" w:fill="FFFFFF"/>
              </w:rPr>
              <w:t>艺术表演工作室</w:t>
            </w:r>
          </w:p>
        </w:tc>
        <w:tc>
          <w:tcPr>
            <w:tcW w:w="2490"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i w:val="0"/>
                <w:iCs w:val="0"/>
                <w:caps w:val="0"/>
                <w:color w:val="000000"/>
                <w:spacing w:val="0"/>
                <w:sz w:val="24"/>
                <w:szCs w:val="24"/>
                <w:shd w:val="clear" w:fill="FFFFFF"/>
              </w:rPr>
              <w:t>杨叶镇杨叶街</w:t>
            </w:r>
          </w:p>
        </w:tc>
        <w:tc>
          <w:tcPr>
            <w:tcW w:w="1258"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非学科</w:t>
            </w:r>
          </w:p>
        </w:tc>
        <w:tc>
          <w:tcPr>
            <w:tcW w:w="1954"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0"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4</w:t>
            </w:r>
          </w:p>
        </w:tc>
        <w:tc>
          <w:tcPr>
            <w:tcW w:w="2176"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i w:val="0"/>
                <w:iCs w:val="0"/>
                <w:caps w:val="0"/>
                <w:color w:val="000000"/>
                <w:spacing w:val="0"/>
                <w:sz w:val="24"/>
                <w:szCs w:val="24"/>
                <w:shd w:val="clear" w:fill="FFFFFF"/>
              </w:rPr>
              <w:t>鄂州泛音文化艺术有限公司</w:t>
            </w:r>
          </w:p>
        </w:tc>
        <w:tc>
          <w:tcPr>
            <w:tcW w:w="2490"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i w:val="0"/>
                <w:iCs w:val="0"/>
                <w:caps w:val="0"/>
                <w:color w:val="000000"/>
                <w:spacing w:val="0"/>
                <w:sz w:val="24"/>
                <w:szCs w:val="24"/>
                <w:shd w:val="clear" w:fill="FFFFFF"/>
              </w:rPr>
              <w:t>新庙镇融创澜岸大观03-04号门面</w:t>
            </w:r>
          </w:p>
        </w:tc>
        <w:tc>
          <w:tcPr>
            <w:tcW w:w="1258"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sz w:val="24"/>
                <w:szCs w:val="24"/>
                <w:vertAlign w:val="baseline"/>
                <w:lang w:val="en-US" w:eastAsia="zh-CN"/>
              </w:rPr>
              <w:t>非学科</w:t>
            </w:r>
          </w:p>
        </w:tc>
        <w:tc>
          <w:tcPr>
            <w:tcW w:w="1954"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8738" w:type="dxa"/>
            <w:gridSpan w:val="5"/>
            <w:noWrap w:val="0"/>
            <w:vAlign w:val="top"/>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vertAlign w:val="baseline"/>
                <w:lang w:val="en-US" w:eastAsia="zh-CN"/>
              </w:rPr>
            </w:pPr>
            <w:r>
              <w:rPr>
                <w:rFonts w:hint="eastAsia" w:ascii="仿宋" w:hAnsi="仿宋" w:eastAsia="仿宋" w:cs="仿宋"/>
                <w:sz w:val="28"/>
                <w:szCs w:val="36"/>
                <w:vertAlign w:val="baseline"/>
                <w:lang w:val="en-US" w:eastAsia="zh-CN"/>
              </w:rPr>
              <w:t>临空经济区“双减”办敬告广大学生家长：“白”名单机构均已经取得培训资质，并在全国校外培训监管与服务综合平台上架及售卖相应培训课程，接受全流程监管。家长朋友可以结合孩子成长需求，科学选择培训课程，合理安排培训时间，并通过全国校外教育培训“家长端”APP选课缴费，培训费直接缴入培训机构资金监管账户，并与培训机构签订《中小学生校外培训服务合同（示范文本）》，索要正规发票，切勿将培训费用通过其他渠道交给、转给任何机构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38" w:type="dxa"/>
            <w:gridSpan w:val="5"/>
            <w:noWrap w:val="0"/>
            <w:vAlign w:val="top"/>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36"/>
                <w:vertAlign w:val="baseline"/>
                <w:lang w:val="en-US" w:eastAsia="zh-CN"/>
              </w:rPr>
            </w:pPr>
            <w:r>
              <w:rPr>
                <w:rFonts w:hint="eastAsia" w:ascii="黑体" w:hAnsi="黑体" w:eastAsia="黑体" w:cs="黑体"/>
                <w:sz w:val="32"/>
                <w:szCs w:val="40"/>
                <w:vertAlign w:val="baseline"/>
                <w:lang w:val="en-US" w:eastAsia="zh-CN"/>
              </w:rPr>
              <w:t>校外培训机构“灰”名单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noWrap w:val="0"/>
            <w:vAlign w:val="top"/>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auto"/>
                <w:kern w:val="2"/>
                <w:sz w:val="28"/>
                <w:szCs w:val="36"/>
                <w:vertAlign w:val="baseline"/>
                <w:lang w:val="en-US" w:eastAsia="zh-CN" w:bidi="ar-SA"/>
              </w:rPr>
            </w:pPr>
            <w:r>
              <w:rPr>
                <w:rFonts w:hint="eastAsia" w:ascii="黑体" w:hAnsi="黑体" w:eastAsia="黑体" w:cs="黑体"/>
                <w:sz w:val="24"/>
                <w:szCs w:val="32"/>
                <w:vertAlign w:val="baseline"/>
                <w:lang w:val="en-US" w:eastAsia="zh-CN"/>
              </w:rPr>
              <w:t>序号</w:t>
            </w:r>
          </w:p>
        </w:tc>
        <w:tc>
          <w:tcPr>
            <w:tcW w:w="2176" w:type="dxa"/>
            <w:noWrap w:val="0"/>
            <w:vAlign w:val="top"/>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auto"/>
                <w:kern w:val="2"/>
                <w:sz w:val="24"/>
                <w:szCs w:val="32"/>
                <w:vertAlign w:val="baseline"/>
                <w:lang w:val="en-US" w:eastAsia="zh-CN" w:bidi="ar-SA"/>
              </w:rPr>
            </w:pPr>
            <w:r>
              <w:rPr>
                <w:rFonts w:hint="eastAsia" w:ascii="黑体" w:hAnsi="黑体" w:eastAsia="黑体" w:cs="黑体"/>
                <w:sz w:val="24"/>
                <w:szCs w:val="32"/>
                <w:vertAlign w:val="baseline"/>
                <w:lang w:val="en-US" w:eastAsia="zh-CN"/>
              </w:rPr>
              <w:t>机构名称</w:t>
            </w:r>
          </w:p>
        </w:tc>
        <w:tc>
          <w:tcPr>
            <w:tcW w:w="2490" w:type="dxa"/>
            <w:noWrap w:val="0"/>
            <w:vAlign w:val="top"/>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auto"/>
                <w:kern w:val="2"/>
                <w:sz w:val="24"/>
                <w:szCs w:val="32"/>
                <w:vertAlign w:val="baseline"/>
                <w:lang w:val="en-US" w:eastAsia="zh-CN" w:bidi="ar-SA"/>
              </w:rPr>
            </w:pPr>
            <w:r>
              <w:rPr>
                <w:rFonts w:hint="eastAsia" w:ascii="黑体" w:hAnsi="黑体" w:eastAsia="黑体" w:cs="黑体"/>
                <w:sz w:val="24"/>
                <w:szCs w:val="32"/>
                <w:vertAlign w:val="baseline"/>
                <w:lang w:val="en-US" w:eastAsia="zh-CN"/>
              </w:rPr>
              <w:t>培训地址</w:t>
            </w:r>
          </w:p>
        </w:tc>
        <w:tc>
          <w:tcPr>
            <w:tcW w:w="1258" w:type="dxa"/>
            <w:noWrap w:val="0"/>
            <w:vAlign w:val="top"/>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auto"/>
                <w:kern w:val="2"/>
                <w:sz w:val="28"/>
                <w:szCs w:val="36"/>
                <w:vertAlign w:val="baseline"/>
                <w:lang w:val="en-US" w:eastAsia="zh-CN" w:bidi="ar-SA"/>
              </w:rPr>
            </w:pPr>
            <w:r>
              <w:rPr>
                <w:rFonts w:hint="eastAsia" w:ascii="黑体" w:hAnsi="黑体" w:eastAsia="黑体" w:cs="黑体"/>
                <w:sz w:val="24"/>
                <w:szCs w:val="32"/>
                <w:vertAlign w:val="baseline"/>
                <w:lang w:val="en-US" w:eastAsia="zh-CN"/>
              </w:rPr>
              <w:t>培训类别</w:t>
            </w:r>
          </w:p>
        </w:tc>
        <w:tc>
          <w:tcPr>
            <w:tcW w:w="1954" w:type="dxa"/>
            <w:noWrap w:val="0"/>
            <w:vAlign w:val="top"/>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auto"/>
                <w:kern w:val="2"/>
                <w:sz w:val="28"/>
                <w:szCs w:val="36"/>
                <w:vertAlign w:val="baseline"/>
                <w:lang w:val="en-US" w:eastAsia="zh-CN" w:bidi="ar-SA"/>
              </w:rPr>
            </w:pPr>
            <w:r>
              <w:rPr>
                <w:rFonts w:hint="eastAsia" w:ascii="黑体" w:hAnsi="黑体" w:eastAsia="黑体" w:cs="黑体"/>
                <w:sz w:val="24"/>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0"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76"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i w:val="0"/>
                <w:iCs w:val="0"/>
                <w:caps w:val="0"/>
                <w:color w:val="000000"/>
                <w:spacing w:val="0"/>
                <w:sz w:val="24"/>
                <w:szCs w:val="24"/>
                <w:shd w:val="clear" w:fill="FFFFFF"/>
              </w:rPr>
              <w:t>鄂州市临空经济区硕达艺术有限公司</w:t>
            </w:r>
          </w:p>
        </w:tc>
        <w:tc>
          <w:tcPr>
            <w:tcW w:w="2490"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i w:val="0"/>
                <w:iCs w:val="0"/>
                <w:caps w:val="0"/>
                <w:color w:val="000000"/>
                <w:spacing w:val="0"/>
                <w:sz w:val="24"/>
                <w:szCs w:val="24"/>
                <w:shd w:val="clear" w:fill="FFFFFF"/>
              </w:rPr>
              <w:t>杨叶镇杨叶村11组</w:t>
            </w:r>
          </w:p>
        </w:tc>
        <w:tc>
          <w:tcPr>
            <w:tcW w:w="1258"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sz w:val="24"/>
                <w:szCs w:val="24"/>
                <w:vertAlign w:val="baseline"/>
                <w:lang w:val="en-US" w:eastAsia="zh-CN"/>
              </w:rPr>
              <w:t>非学科</w:t>
            </w:r>
          </w:p>
        </w:tc>
        <w:tc>
          <w:tcPr>
            <w:tcW w:w="1954"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未进行课程上架及全流程监管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0"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76"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i w:val="0"/>
                <w:iCs w:val="0"/>
                <w:caps w:val="0"/>
                <w:color w:val="000000"/>
                <w:spacing w:val="0"/>
                <w:sz w:val="24"/>
                <w:szCs w:val="24"/>
                <w:shd w:val="clear" w:fill="FFFFFF"/>
              </w:rPr>
              <w:t>鄂州市宏道跆拳道燕矶馆</w:t>
            </w:r>
          </w:p>
        </w:tc>
        <w:tc>
          <w:tcPr>
            <w:tcW w:w="2490"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i w:val="0"/>
                <w:iCs w:val="0"/>
                <w:caps w:val="0"/>
                <w:color w:val="000000"/>
                <w:spacing w:val="0"/>
                <w:sz w:val="24"/>
                <w:szCs w:val="24"/>
                <w:shd w:val="clear" w:fill="FFFFFF"/>
              </w:rPr>
              <w:t>燕叽镇燕叽街99-10号、99-12号门面房</w:t>
            </w:r>
          </w:p>
        </w:tc>
        <w:tc>
          <w:tcPr>
            <w:tcW w:w="1258"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sz w:val="24"/>
                <w:szCs w:val="24"/>
                <w:vertAlign w:val="baseline"/>
                <w:lang w:val="en-US" w:eastAsia="zh-CN"/>
              </w:rPr>
              <w:t>非学科</w:t>
            </w:r>
          </w:p>
        </w:tc>
        <w:tc>
          <w:tcPr>
            <w:tcW w:w="1954"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firstLine="0" w:firstLineChars="0"/>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未进行课程上架及全流程监管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0"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76"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i w:val="0"/>
                <w:iCs w:val="0"/>
                <w:caps w:val="0"/>
                <w:color w:val="000000"/>
                <w:spacing w:val="0"/>
                <w:sz w:val="24"/>
                <w:szCs w:val="24"/>
                <w:shd w:val="clear" w:fill="FFFFFF"/>
              </w:rPr>
              <w:t>鄂州市临空经济区学易知艺术文化有限公司</w:t>
            </w:r>
          </w:p>
        </w:tc>
        <w:tc>
          <w:tcPr>
            <w:tcW w:w="2490"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i w:val="0"/>
                <w:iCs w:val="0"/>
                <w:caps w:val="0"/>
                <w:color w:val="000000"/>
                <w:spacing w:val="0"/>
                <w:sz w:val="24"/>
                <w:szCs w:val="24"/>
                <w:shd w:val="clear" w:fill="FFFFFF"/>
              </w:rPr>
              <w:t>临空经济区燕矶大道338-9号</w:t>
            </w:r>
          </w:p>
        </w:tc>
        <w:tc>
          <w:tcPr>
            <w:tcW w:w="1258"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sz w:val="24"/>
                <w:szCs w:val="24"/>
                <w:vertAlign w:val="baseline"/>
                <w:lang w:val="en-US" w:eastAsia="zh-CN"/>
              </w:rPr>
              <w:t>非学科</w:t>
            </w:r>
          </w:p>
        </w:tc>
        <w:tc>
          <w:tcPr>
            <w:tcW w:w="1954"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未进行课程上架及全流程监管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0"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76"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rPr>
              <w:t>湖北省林夕教育</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i w:val="0"/>
                <w:iCs w:val="0"/>
                <w:caps w:val="0"/>
                <w:color w:val="000000"/>
                <w:spacing w:val="0"/>
                <w:sz w:val="24"/>
                <w:szCs w:val="24"/>
                <w:shd w:val="clear" w:fill="FFFFFF"/>
              </w:rPr>
              <w:t>咨询有限公司</w:t>
            </w:r>
          </w:p>
        </w:tc>
        <w:tc>
          <w:tcPr>
            <w:tcW w:w="2490"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i w:val="0"/>
                <w:iCs w:val="0"/>
                <w:caps w:val="0"/>
                <w:color w:val="000000"/>
                <w:spacing w:val="0"/>
                <w:sz w:val="24"/>
                <w:szCs w:val="24"/>
                <w:shd w:val="clear" w:fill="FFFFFF"/>
              </w:rPr>
              <w:t>燕矶镇燕矶街99号2-3号门面</w:t>
            </w:r>
          </w:p>
        </w:tc>
        <w:tc>
          <w:tcPr>
            <w:tcW w:w="1258"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sz w:val="24"/>
                <w:szCs w:val="24"/>
                <w:vertAlign w:val="baseline"/>
                <w:lang w:val="en-US" w:eastAsia="zh-CN"/>
              </w:rPr>
              <w:t>非学科</w:t>
            </w:r>
          </w:p>
        </w:tc>
        <w:tc>
          <w:tcPr>
            <w:tcW w:w="1954"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未进行课程上架及全流程监管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0"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5</w:t>
            </w:r>
          </w:p>
        </w:tc>
        <w:tc>
          <w:tcPr>
            <w:tcW w:w="2176"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鄂州市杨叶芊芊</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舞蹈工作室</w:t>
            </w:r>
          </w:p>
        </w:tc>
        <w:tc>
          <w:tcPr>
            <w:tcW w:w="2490"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杨叶镇杨叶村七组</w:t>
            </w:r>
          </w:p>
        </w:tc>
        <w:tc>
          <w:tcPr>
            <w:tcW w:w="1258"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非学科</w:t>
            </w:r>
          </w:p>
        </w:tc>
        <w:tc>
          <w:tcPr>
            <w:tcW w:w="1954"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未进行课程上架及全流程监管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8" w:type="dxa"/>
            <w:gridSpan w:val="5"/>
            <w:noWrap w:val="0"/>
            <w:vAlign w:val="top"/>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400" w:lineRule="exact"/>
              <w:ind w:firstLine="560" w:firstLineChars="200"/>
              <w:jc w:val="left"/>
              <w:textAlignment w:val="auto"/>
              <w:rPr>
                <w:rFonts w:hint="default" w:ascii="仿宋_GB2312" w:hAnsi="仿宋_GB2312" w:eastAsia="仿宋_GB2312" w:cs="仿宋_GB2312"/>
                <w:sz w:val="28"/>
                <w:szCs w:val="36"/>
                <w:vertAlign w:val="baseline"/>
                <w:lang w:val="en-US" w:eastAsia="zh-CN"/>
              </w:rPr>
            </w:pPr>
            <w:r>
              <w:rPr>
                <w:rFonts w:hint="eastAsia" w:ascii="仿宋" w:hAnsi="仿宋" w:eastAsia="仿宋" w:cs="仿宋"/>
                <w:sz w:val="28"/>
                <w:szCs w:val="36"/>
                <w:vertAlign w:val="baseline"/>
                <w:lang w:val="en-US" w:eastAsia="zh-CN"/>
              </w:rPr>
              <w:t>临空经济区“双减”办敬告广大学生家长：“灰”名单机构已经取得培训资质，但目前尚未按照主管部门要求在全国校外培训监管与服务综合平台上架及售卖相应培训课程，</w:t>
            </w:r>
            <w:r>
              <w:rPr>
                <w:rFonts w:hint="eastAsia" w:ascii="仿宋" w:hAnsi="仿宋" w:eastAsia="仿宋" w:cs="仿宋"/>
                <w:color w:val="auto"/>
                <w:sz w:val="28"/>
                <w:szCs w:val="36"/>
                <w:vertAlign w:val="baseline"/>
                <w:lang w:val="en-US" w:eastAsia="zh-CN"/>
              </w:rPr>
              <w:t>未接受全流程监管，或者有比较重大的安全隐患未整改，主管部门已责令其限期整改。在完成整改前，家长通过其他渠道</w:t>
            </w:r>
            <w:r>
              <w:rPr>
                <w:rFonts w:hint="eastAsia" w:ascii="仿宋" w:hAnsi="仿宋" w:eastAsia="仿宋" w:cs="仿宋"/>
                <w:sz w:val="28"/>
                <w:szCs w:val="36"/>
                <w:vertAlign w:val="baseline"/>
                <w:lang w:val="en-US" w:eastAsia="zh-CN"/>
              </w:rPr>
              <w:t>交费后可能发生资金风险、产生退费纠纷，建议家长朋友谨慎选择。可以与培训机构协议采用“先上课、后付费”方式，避免发生“退费难”风险。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38" w:type="dxa"/>
            <w:gridSpan w:val="5"/>
            <w:noWrap w:val="0"/>
            <w:vAlign w:val="top"/>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36"/>
                <w:vertAlign w:val="baseline"/>
                <w:lang w:val="en-US" w:eastAsia="zh-CN"/>
              </w:rPr>
            </w:pPr>
            <w:r>
              <w:rPr>
                <w:rFonts w:hint="eastAsia" w:ascii="黑体" w:hAnsi="黑体" w:eastAsia="黑体" w:cs="黑体"/>
                <w:sz w:val="32"/>
                <w:szCs w:val="40"/>
                <w:vertAlign w:val="baseline"/>
                <w:lang w:val="en-US" w:eastAsia="zh-CN"/>
              </w:rPr>
              <w:t>校外培训机构“黑”名单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noWrap w:val="0"/>
            <w:vAlign w:val="top"/>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28"/>
                <w:szCs w:val="36"/>
                <w:vertAlign w:val="baseline"/>
                <w:lang w:val="en-US" w:eastAsia="zh-CN"/>
              </w:rPr>
            </w:pPr>
            <w:r>
              <w:rPr>
                <w:rFonts w:hint="eastAsia" w:ascii="黑体" w:hAnsi="黑体" w:eastAsia="黑体" w:cs="黑体"/>
                <w:sz w:val="24"/>
                <w:szCs w:val="32"/>
                <w:vertAlign w:val="baseline"/>
                <w:lang w:val="en-US" w:eastAsia="zh-CN"/>
              </w:rPr>
              <w:t>序号</w:t>
            </w:r>
          </w:p>
        </w:tc>
        <w:tc>
          <w:tcPr>
            <w:tcW w:w="2176" w:type="dxa"/>
            <w:noWrap w:val="0"/>
            <w:vAlign w:val="top"/>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28"/>
                <w:szCs w:val="36"/>
                <w:vertAlign w:val="baseline"/>
                <w:lang w:val="en-US" w:eastAsia="zh-CN"/>
              </w:rPr>
            </w:pPr>
            <w:r>
              <w:rPr>
                <w:rFonts w:hint="eastAsia" w:ascii="黑体" w:hAnsi="黑体" w:eastAsia="黑体" w:cs="黑体"/>
                <w:sz w:val="24"/>
                <w:szCs w:val="32"/>
                <w:vertAlign w:val="baseline"/>
                <w:lang w:val="en-US" w:eastAsia="zh-CN"/>
              </w:rPr>
              <w:t>机构名称</w:t>
            </w:r>
          </w:p>
        </w:tc>
        <w:tc>
          <w:tcPr>
            <w:tcW w:w="2490" w:type="dxa"/>
            <w:noWrap w:val="0"/>
            <w:vAlign w:val="top"/>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28"/>
                <w:szCs w:val="36"/>
                <w:vertAlign w:val="baseline"/>
                <w:lang w:val="en-US" w:eastAsia="zh-CN"/>
              </w:rPr>
            </w:pPr>
            <w:r>
              <w:rPr>
                <w:rFonts w:hint="eastAsia" w:ascii="黑体" w:hAnsi="黑体" w:eastAsia="黑体" w:cs="黑体"/>
                <w:sz w:val="24"/>
                <w:szCs w:val="32"/>
                <w:vertAlign w:val="baseline"/>
                <w:lang w:val="en-US" w:eastAsia="zh-CN"/>
              </w:rPr>
              <w:t>培训地址</w:t>
            </w:r>
          </w:p>
        </w:tc>
        <w:tc>
          <w:tcPr>
            <w:tcW w:w="1258" w:type="dxa"/>
            <w:noWrap w:val="0"/>
            <w:vAlign w:val="top"/>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36"/>
                <w:vertAlign w:val="baseline"/>
                <w:lang w:val="en-US" w:eastAsia="zh-CN"/>
              </w:rPr>
            </w:pPr>
            <w:r>
              <w:rPr>
                <w:rFonts w:hint="eastAsia" w:ascii="黑体" w:hAnsi="黑体" w:eastAsia="黑体" w:cs="黑体"/>
                <w:sz w:val="24"/>
                <w:szCs w:val="32"/>
                <w:vertAlign w:val="baseline"/>
                <w:lang w:val="en-US" w:eastAsia="zh-CN"/>
              </w:rPr>
              <w:t>培训类别</w:t>
            </w:r>
          </w:p>
        </w:tc>
        <w:tc>
          <w:tcPr>
            <w:tcW w:w="1954" w:type="dxa"/>
            <w:noWrap w:val="0"/>
            <w:vAlign w:val="top"/>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36"/>
                <w:vertAlign w:val="baseline"/>
                <w:lang w:val="en-US" w:eastAsia="zh-CN"/>
              </w:rPr>
            </w:pPr>
            <w:r>
              <w:rPr>
                <w:rFonts w:hint="eastAsia" w:ascii="黑体" w:hAnsi="黑体" w:eastAsia="黑体" w:cs="黑体"/>
                <w:sz w:val="24"/>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1</w:t>
            </w:r>
          </w:p>
        </w:tc>
        <w:tc>
          <w:tcPr>
            <w:tcW w:w="2176"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六品书院</w:t>
            </w:r>
          </w:p>
        </w:tc>
        <w:tc>
          <w:tcPr>
            <w:tcW w:w="2490"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燕矶镇燕矶街</w:t>
            </w:r>
          </w:p>
        </w:tc>
        <w:tc>
          <w:tcPr>
            <w:tcW w:w="1258"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2"/>
                <w:szCs w:val="22"/>
                <w:vertAlign w:val="baseline"/>
                <w:lang w:val="en-US" w:eastAsia="zh-CN"/>
              </w:rPr>
              <w:t>非学科</w:t>
            </w:r>
          </w:p>
        </w:tc>
        <w:tc>
          <w:tcPr>
            <w:tcW w:w="1954"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left"/>
              <w:textAlignment w:val="auto"/>
              <w:rPr>
                <w:rFonts w:hint="default"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未取得培训资质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0"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2</w:t>
            </w:r>
          </w:p>
        </w:tc>
        <w:tc>
          <w:tcPr>
            <w:tcW w:w="2176"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梦想篮球俱乐部</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jc w:val="left"/>
              <w:textAlignment w:val="auto"/>
              <w:rPr>
                <w:rFonts w:hint="default"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临空馆</w:t>
            </w:r>
          </w:p>
        </w:tc>
        <w:tc>
          <w:tcPr>
            <w:tcW w:w="2490"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新庙镇茅草村</w:t>
            </w:r>
          </w:p>
        </w:tc>
        <w:tc>
          <w:tcPr>
            <w:tcW w:w="1258"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2"/>
                <w:szCs w:val="22"/>
                <w:vertAlign w:val="baseline"/>
                <w:lang w:val="en-US" w:eastAsia="zh-CN"/>
              </w:rPr>
              <w:t>非学科</w:t>
            </w:r>
          </w:p>
        </w:tc>
        <w:tc>
          <w:tcPr>
            <w:tcW w:w="1954"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jc w:val="left"/>
              <w:textAlignment w:val="auto"/>
              <w:rPr>
                <w:rFonts w:hint="default"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未纳入全流程监管平台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8" w:type="dxa"/>
            <w:gridSpan w:val="5"/>
            <w:noWrap w:val="0"/>
            <w:vAlign w:val="top"/>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 xml:space="preserve">  </w:t>
            </w:r>
            <w:r>
              <w:rPr>
                <w:rFonts w:hint="eastAsia" w:ascii="仿宋" w:hAnsi="仿宋" w:eastAsia="仿宋" w:cs="仿宋"/>
                <w:sz w:val="28"/>
                <w:szCs w:val="36"/>
                <w:vertAlign w:val="baseline"/>
                <w:lang w:val="en-US" w:eastAsia="zh-CN"/>
              </w:rPr>
              <w:t xml:space="preserve"> 临空经济区“双减”办敬告广大学生家长：“黑”名单机构系校外培训主管部门在监管检查中已掌握的未取得培训资质，或者有严重违规行为的培训机构，正处于限期整改状态，整改不到位将进行关停，参与此类机构培训有风险。在机构取得办学资质或完成整改前，请家长朋友坚决抵制，不要选择此类培训机构，不要缴费，并主动进行监督。</w:t>
            </w:r>
          </w:p>
        </w:tc>
      </w:tr>
    </w:tbl>
    <w:p>
      <w:pPr>
        <w:keepNext w:val="0"/>
        <w:keepLines w:val="0"/>
        <w:pageBreakBefore w:val="0"/>
        <w:widowControl w:val="0"/>
        <w:kinsoku/>
        <w:wordWrap/>
        <w:overflowPunct/>
        <w:topLinePunct w:val="0"/>
        <w:autoSpaceDE/>
        <w:autoSpaceDN/>
        <w:bidi w:val="0"/>
        <w:adjustRightInd/>
        <w:snapToGrid/>
        <w:spacing w:line="560" w:lineRule="exact"/>
        <w:ind w:firstLine="516" w:firstLineChars="200"/>
        <w:jc w:val="left"/>
        <w:textAlignment w:val="auto"/>
        <w:rPr>
          <w:rFonts w:hint="eastAsia" w:ascii="仿宋" w:hAnsi="仿宋" w:eastAsia="仿宋" w:cs="仿宋"/>
          <w:b w:val="0"/>
          <w:bCs w:val="0"/>
          <w:spacing w:val="-11"/>
          <w:sz w:val="28"/>
          <w:szCs w:val="36"/>
          <w:lang w:val="en-US" w:eastAsia="zh-CN"/>
        </w:rPr>
      </w:pPr>
      <w:r>
        <w:rPr>
          <w:rFonts w:hint="eastAsia" w:ascii="仿宋" w:hAnsi="仿宋" w:eastAsia="仿宋" w:cs="仿宋"/>
          <w:b w:val="0"/>
          <w:bCs w:val="0"/>
          <w:spacing w:val="-11"/>
          <w:sz w:val="28"/>
          <w:szCs w:val="36"/>
        </w:rPr>
        <w:t>本名单</w:t>
      </w:r>
      <w:r>
        <w:rPr>
          <w:rFonts w:hint="eastAsia" w:ascii="仿宋" w:hAnsi="仿宋" w:eastAsia="仿宋" w:cs="仿宋"/>
          <w:b w:val="0"/>
          <w:bCs w:val="0"/>
          <w:spacing w:val="-11"/>
          <w:sz w:val="28"/>
          <w:szCs w:val="36"/>
          <w:lang w:val="en-US" w:eastAsia="zh-CN"/>
        </w:rPr>
        <w:t>1</w:t>
      </w:r>
      <w:r>
        <w:rPr>
          <w:rFonts w:hint="eastAsia" w:ascii="仿宋" w:hAnsi="仿宋" w:eastAsia="仿宋" w:cs="仿宋"/>
          <w:b w:val="0"/>
          <w:bCs w:val="0"/>
          <w:spacing w:val="-11"/>
          <w:sz w:val="28"/>
          <w:szCs w:val="36"/>
        </w:rPr>
        <w:t>月底</w:t>
      </w:r>
      <w:r>
        <w:rPr>
          <w:rFonts w:hint="eastAsia" w:ascii="仿宋" w:hAnsi="仿宋" w:eastAsia="仿宋" w:cs="仿宋"/>
          <w:b w:val="0"/>
          <w:bCs w:val="0"/>
          <w:spacing w:val="-11"/>
          <w:sz w:val="28"/>
          <w:szCs w:val="36"/>
          <w:lang w:val="en-US" w:eastAsia="zh-CN"/>
        </w:rPr>
        <w:t>前</w:t>
      </w:r>
      <w:r>
        <w:rPr>
          <w:rFonts w:hint="eastAsia" w:ascii="仿宋" w:hAnsi="仿宋" w:eastAsia="仿宋" w:cs="仿宋"/>
          <w:b w:val="0"/>
          <w:bCs w:val="0"/>
          <w:spacing w:val="-11"/>
          <w:sz w:val="28"/>
          <w:szCs w:val="36"/>
        </w:rPr>
        <w:t>首次公布后，自次月起区“双减“办结合实际每月对“白、灰、黑”名单进行动态调整，并在备注栏注明调整原因。如:发现“白"名单机构存在通过其他渠道收费，可以动态调整进入“灰"名单</w:t>
      </w:r>
      <w:r>
        <w:rPr>
          <w:rFonts w:hint="eastAsia" w:ascii="仿宋" w:hAnsi="仿宋" w:eastAsia="仿宋" w:cs="仿宋"/>
          <w:b w:val="0"/>
          <w:bCs w:val="0"/>
          <w:spacing w:val="-11"/>
          <w:sz w:val="28"/>
          <w:szCs w:val="36"/>
          <w:lang w:eastAsia="zh-CN"/>
        </w:rPr>
        <w:t>；</w:t>
      </w:r>
      <w:r>
        <w:rPr>
          <w:rFonts w:hint="eastAsia" w:ascii="仿宋" w:hAnsi="仿宋" w:eastAsia="仿宋" w:cs="仿宋"/>
          <w:b w:val="0"/>
          <w:bCs w:val="0"/>
          <w:spacing w:val="-11"/>
          <w:sz w:val="28"/>
          <w:szCs w:val="36"/>
        </w:rPr>
        <w:t>“灰”名单机构完成整改，实现通过平台收费的，可以动态调整进入“白"名单</w:t>
      </w:r>
      <w:r>
        <w:rPr>
          <w:rFonts w:hint="eastAsia" w:ascii="仿宋" w:hAnsi="仿宋" w:eastAsia="仿宋" w:cs="仿宋"/>
          <w:b w:val="0"/>
          <w:bCs w:val="0"/>
          <w:spacing w:val="-11"/>
          <w:sz w:val="28"/>
          <w:szCs w:val="36"/>
          <w:lang w:eastAsia="zh-CN"/>
        </w:rPr>
        <w:t>；</w:t>
      </w:r>
      <w:r>
        <w:rPr>
          <w:rFonts w:hint="eastAsia" w:ascii="仿宋" w:hAnsi="仿宋" w:eastAsia="仿宋" w:cs="仿宋"/>
          <w:b w:val="0"/>
          <w:bCs w:val="0"/>
          <w:spacing w:val="-11"/>
          <w:sz w:val="28"/>
          <w:szCs w:val="36"/>
        </w:rPr>
        <w:t>“白”“灰"名单机构存在严重违规行为的，可以动态调整进入“黑”名单</w:t>
      </w:r>
      <w:r>
        <w:rPr>
          <w:rFonts w:hint="eastAsia" w:ascii="仿宋" w:hAnsi="仿宋" w:eastAsia="仿宋" w:cs="仿宋"/>
          <w:b w:val="0"/>
          <w:bCs w:val="0"/>
          <w:spacing w:val="-11"/>
          <w:sz w:val="28"/>
          <w:szCs w:val="36"/>
          <w:lang w:eastAsia="zh-CN"/>
        </w:rPr>
        <w:t>；</w:t>
      </w:r>
      <w:r>
        <w:rPr>
          <w:rFonts w:hint="eastAsia" w:ascii="仿宋" w:hAnsi="仿宋" w:eastAsia="仿宋" w:cs="仿宋"/>
          <w:b w:val="0"/>
          <w:bCs w:val="0"/>
          <w:spacing w:val="-11"/>
          <w:sz w:val="28"/>
          <w:szCs w:val="36"/>
        </w:rPr>
        <w:t>“黑"名单机构取得办学资质或者积极主动整改的可以动态调整进入“灰"“白"名单</w:t>
      </w:r>
      <w:r>
        <w:rPr>
          <w:rFonts w:hint="eastAsia" w:ascii="仿宋" w:hAnsi="仿宋" w:eastAsia="仿宋" w:cs="仿宋"/>
          <w:b w:val="0"/>
          <w:bCs w:val="0"/>
          <w:spacing w:val="-11"/>
          <w:sz w:val="28"/>
          <w:szCs w:val="36"/>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OTM1ODg0OGY4Nzc2MDljYjU4OTMyMzkzNGYzNjIifQ=="/>
  </w:docVars>
  <w:rsids>
    <w:rsidRoot w:val="00000000"/>
    <w:rsid w:val="50680627"/>
    <w:rsid w:val="7EA05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2024-01-31T10:41:00Z</dcterms:created>
  <dc:creator>yc</dc:creator>
  <cp:lastModifiedBy>哈喽</cp:lastModifiedBy>
  <dcterms:modified xsi:type="dcterms:W3CDTF">2024-02-01T00:31:43Z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B309BB3857C24734BDDF7019D565C34C_13</vt:lpwstr>
  </property>
</Properties>
</file>