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rPr>
          <w:rFonts w:hint="eastAsia" w:ascii="Times New Roman" w:hAnsi="Times New Roman"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工业和信息化部深化“证照分离”改革贯彻落实措施（</w:t>
      </w:r>
      <w:r>
        <w:rPr>
          <w:rFonts w:hint="default" w:ascii="Times New Roman" w:hAnsi="Times New Roman" w:eastAsia="方正小标宋简体" w:cs="Times New Roman"/>
          <w:sz w:val="44"/>
          <w:szCs w:val="44"/>
        </w:rPr>
        <w:t>2021</w:t>
      </w:r>
      <w:r>
        <w:rPr>
          <w:rFonts w:hint="default" w:ascii="方正小标宋简体" w:hAnsi="方正小标宋简体"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仿宋_GB231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1452"/>
        <w:gridCol w:w="1452"/>
        <w:gridCol w:w="1266"/>
        <w:gridCol w:w="3255"/>
        <w:gridCol w:w="47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0" w:hRule="atLeast"/>
          <w:tblHeader/>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事项名称</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审批部门</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改革方式</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改革举措</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监管措施</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default" w:ascii="黑体" w:hAnsi="黑体" w:eastAsia="黑体" w:cs="黑体"/>
                <w:b w:val="0"/>
                <w:bCs w:val="0"/>
                <w:sz w:val="24"/>
                <w:szCs w:val="24"/>
                <w:vertAlign w:val="baseline"/>
              </w:rPr>
              <w:t>实施范围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外商投资经营电信业务（基础电信业务）审批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restart"/>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1.取消“外商投资经营电信业务审批”。</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2.在办理“电信业务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基础电信业务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第一类增值电信业务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第二类增值电信业务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经营许可”时对外商投资电信企业落实股比限制要求情况进行审查把关。</w:t>
            </w:r>
          </w:p>
        </w:tc>
        <w:tc>
          <w:tcPr>
            <w:tcW w:w="4770"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按照《国务院关于深化“证照分离”改革进一步激发市场主体发展活力的通知》（国发〔2021〕7号）</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《工业和信息化部关于加强外商投资电信企业事中事后监管的通知》（工信部通信函〔2020〕248号）</w:t>
            </w:r>
            <w:r>
              <w:rPr>
                <w:rFonts w:hint="eastAsia" w:ascii="Times New Roman" w:hAnsi="Times New Roman" w:eastAsia="仿宋_GB2312" w:cs="仿宋_GB2312"/>
                <w:sz w:val="24"/>
                <w:szCs w:val="24"/>
                <w:vertAlign w:val="baseline"/>
                <w:lang w:eastAsia="zh-CN"/>
              </w:rPr>
              <w:t>有关</w:t>
            </w:r>
            <w:r>
              <w:rPr>
                <w:rFonts w:hint="eastAsia" w:ascii="Times New Roman" w:hAnsi="Times New Roman" w:eastAsia="仿宋_GB2312" w:cs="仿宋_GB2312"/>
                <w:sz w:val="24"/>
                <w:szCs w:val="24"/>
                <w:vertAlign w:val="baseline"/>
              </w:rPr>
              <w:t>要求</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落实监管</w:t>
            </w:r>
            <w:r>
              <w:rPr>
                <w:rFonts w:hint="eastAsia" w:ascii="Times New Roman" w:hAnsi="Times New Roman" w:eastAsia="仿宋_GB2312" w:cs="仿宋_GB2312"/>
                <w:sz w:val="24"/>
                <w:szCs w:val="24"/>
                <w:vertAlign w:val="baseline"/>
                <w:lang w:eastAsia="zh-CN"/>
              </w:rPr>
              <w:t>措施</w:t>
            </w:r>
            <w:r>
              <w:rPr>
                <w:rFonts w:hint="eastAsia" w:ascii="Times New Roman" w:hAnsi="Times New Roman" w:eastAsia="仿宋_GB2312" w:cs="仿宋_GB2312"/>
                <w:sz w:val="24"/>
                <w:szCs w:val="24"/>
                <w:vertAlign w:val="baseline"/>
              </w:rPr>
              <w:t>。</w:t>
            </w:r>
          </w:p>
        </w:tc>
        <w:tc>
          <w:tcPr>
            <w:tcW w:w="1190"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外商投资经营电信业务（第一类增值电信业务）审批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外商投资经营电信业务（第二类增值电信业务）审批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9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第二、三类监控化学品和第四类监控化学品中含磷、硫、氟的特定有机化学品生产特别许可（初审）</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noWrap w:val="0"/>
            <w:vAlign w:val="center"/>
          </w:tcPr>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1.</w:t>
            </w:r>
            <w:r>
              <w:rPr>
                <w:rFonts w:hint="eastAsia" w:ascii="Times New Roman" w:hAnsi="Times New Roman" w:eastAsia="仿宋_GB2312" w:cs="仿宋_GB2312"/>
                <w:kern w:val="2"/>
                <w:sz w:val="24"/>
                <w:szCs w:val="24"/>
                <w:vertAlign w:val="baseline"/>
                <w:lang w:eastAsia="zh-CN" w:bidi="ar-SA"/>
              </w:rPr>
              <w:t>取消初审环节，“第二、三类监控化学品和第四类监控化学品中含磷、硫、氟的特定有机化学品生产特别许可”由省级工业和信息化主管部门初审、工业和信息化部审批，调整为省级工业和信息化主管部门直接审批。</w:t>
            </w:r>
          </w:p>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2.</w:t>
            </w:r>
            <w:r>
              <w:rPr>
                <w:rFonts w:hint="eastAsia" w:ascii="Times New Roman" w:hAnsi="Times New Roman" w:eastAsia="仿宋_GB2312" w:cs="仿宋_GB2312"/>
                <w:kern w:val="2"/>
                <w:sz w:val="24"/>
                <w:szCs w:val="24"/>
                <w:vertAlign w:val="baseline"/>
                <w:lang w:eastAsia="zh-CN" w:bidi="ar-SA"/>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kern w:val="2"/>
                <w:sz w:val="24"/>
                <w:szCs w:val="24"/>
                <w:vertAlign w:val="baseline"/>
                <w:lang w:val="en-US" w:eastAsia="zh-CN" w:bidi="ar-SA"/>
              </w:rPr>
              <w:t>3.</w:t>
            </w:r>
            <w:r>
              <w:rPr>
                <w:rFonts w:hint="eastAsia" w:ascii="Times New Roman" w:hAnsi="Times New Roman" w:eastAsia="仿宋_GB2312" w:cs="仿宋_GB2312"/>
                <w:kern w:val="2"/>
                <w:sz w:val="24"/>
                <w:szCs w:val="24"/>
                <w:vertAlign w:val="baseline"/>
                <w:lang w:eastAsia="zh-CN" w:bidi="ar-SA"/>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8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食盐定点批发企业审批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不再要求申请人提供营业执照复印件等材料</w:t>
            </w:r>
            <w:r>
              <w:rPr>
                <w:rFonts w:hint="default" w:ascii="Times New Roman" w:hAnsi="Times New Roman" w:eastAsia="仿宋_GB2312" w:cs="仿宋_GB2312"/>
                <w:sz w:val="24"/>
                <w:szCs w:val="24"/>
                <w:vertAlign w:val="baseline"/>
              </w:rPr>
              <w:t>。</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sz w:val="24"/>
                <w:szCs w:val="24"/>
                <w:vertAlign w:val="baseline"/>
              </w:rPr>
              <w:t>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r>
              <w:rPr>
                <w:rFonts w:hint="default" w:ascii="Times New Roman" w:hAnsi="Times New Roman" w:eastAsia="仿宋_GB2312" w:cs="仿宋_GB2312"/>
                <w:sz w:val="24"/>
                <w:szCs w:val="24"/>
                <w:vertAlign w:val="baseline"/>
              </w:rPr>
              <w:t>。</w:t>
            </w:r>
          </w:p>
        </w:tc>
        <w:tc>
          <w:tcPr>
            <w:tcW w:w="4770" w:type="dxa"/>
            <w:noWrap w:val="0"/>
            <w:vAlign w:val="center"/>
          </w:tcPr>
          <w:p>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val="en-US" w:eastAsia="zh-CN"/>
              </w:rPr>
              <w:t>1.严格执行有关法律法规和标准，对食盐定点批发企业加强监管</w:t>
            </w:r>
            <w:r>
              <w:rPr>
                <w:rFonts w:hint="default" w:ascii="Times New Roman" w:hAnsi="Times New Roman" w:eastAsia="仿宋_GB2312" w:cs="仿宋_GB2312"/>
                <w:sz w:val="24"/>
                <w:szCs w:val="24"/>
                <w:vertAlign w:val="baseline"/>
                <w:lang w:eastAsia="zh-CN"/>
              </w:rPr>
              <w:t>。</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仿宋_GB2312" w:cs="仿宋_GB2312"/>
                <w:kern w:val="2"/>
                <w:sz w:val="24"/>
                <w:szCs w:val="24"/>
                <w:vertAlign w:val="baseline"/>
                <w:lang w:eastAsia="zh-CN"/>
              </w:rPr>
            </w:pPr>
            <w:r>
              <w:rPr>
                <w:rFonts w:hint="eastAsia" w:ascii="Times New Roman" w:hAnsi="Times New Roman" w:eastAsia="仿宋_GB2312" w:cs="仿宋_GB2312"/>
                <w:sz w:val="24"/>
                <w:szCs w:val="24"/>
                <w:vertAlign w:val="baseline"/>
                <w:lang w:val="en-US" w:eastAsia="zh-CN"/>
              </w:rPr>
              <w:t>2.加强信用监管，依法向社会公布食盐定点批发企业信用状况，依法依规开展失信惩戒。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食盐定点生产企业审批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1.不再要求申请人提供营业执照复印件等材料。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p>
        </w:tc>
        <w:tc>
          <w:tcPr>
            <w:tcW w:w="477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1.严格执行有关法律法规和标准，对食盐定点生产企业加强监管</w:t>
            </w:r>
            <w:r>
              <w:rPr>
                <w:rFonts w:hint="default"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2.加强信用监管，依法向社会公布食盐定点生产企业信用状况，依法依规开展失信惩戒。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86"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电信业务（基础电信业务）经营许可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highlight w:val="none"/>
                <w:vertAlign w:val="baseline"/>
              </w:rPr>
              <w:t>工业和信息化部</w:t>
            </w:r>
            <w:r>
              <w:rPr>
                <w:rFonts w:hint="default" w:ascii="Times New Roman" w:hAnsi="Times New Roman" w:eastAsia="仿宋_GB2312" w:cs="仿宋_GB2312"/>
                <w:sz w:val="24"/>
                <w:szCs w:val="24"/>
                <w:highlight w:val="none"/>
                <w:vertAlign w:val="baseline"/>
              </w:rPr>
              <w:t>，</w:t>
            </w: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w:t>
            </w:r>
            <w:r>
              <w:rPr>
                <w:rFonts w:hint="eastAsia" w:ascii="Times New Roman" w:hAnsi="Times New Roman" w:eastAsia="仿宋_GB2312" w:cs="仿宋_GB2312"/>
                <w:sz w:val="24"/>
                <w:szCs w:val="24"/>
                <w:vertAlign w:val="baseline"/>
                <w:lang w:eastAsia="zh-CN"/>
              </w:rPr>
              <w:t>监测</w:t>
            </w:r>
            <w:r>
              <w:rPr>
                <w:rFonts w:hint="eastAsia" w:ascii="Times New Roman" w:hAnsi="Times New Roman" w:eastAsia="仿宋_GB2312" w:cs="仿宋_GB2312"/>
                <w:sz w:val="24"/>
                <w:szCs w:val="24"/>
                <w:vertAlign w:val="baseline"/>
              </w:rPr>
              <w:t>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3"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电信业务（第一类增值电信业务）经营许可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9" w:hRule="exact"/>
        </w:trPr>
        <w:tc>
          <w:tcPr>
            <w:tcW w:w="765"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9</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电信业务（第二类增值电信业务）经营许可</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default" w:ascii="Times New Roman" w:hAnsi="Times New Roman" w:eastAsia="仿宋_GB2312" w:cs="仿宋_GB2312"/>
                <w:sz w:val="24"/>
                <w:szCs w:val="24"/>
                <w:vertAlign w:val="baseline"/>
              </w:rPr>
              <w:t>者</w:t>
            </w:r>
            <w:r>
              <w:rPr>
                <w:rFonts w:hint="eastAsia" w:ascii="Times New Roman" w:hAnsi="Times New Roman" w:eastAsia="仿宋_GB2312" w:cs="仿宋_GB2312"/>
                <w:sz w:val="24"/>
                <w:szCs w:val="24"/>
                <w:vertAlign w:val="baseline"/>
              </w:rPr>
              <w:t>现场领取电信业务经营许可证。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9" w:hRule="exact"/>
        </w:trPr>
        <w:tc>
          <w:tcPr>
            <w:tcW w:w="765" w:type="dxa"/>
            <w:vMerge w:val="continue"/>
            <w:noWrap w:val="0"/>
            <w:vAlign w:val="center"/>
          </w:tcPr>
          <w:p>
            <w:pPr>
              <w:jc w:val="center"/>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实行告知承诺</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1.制作并公布告知承诺书格式文本，</w:t>
            </w:r>
            <w:r>
              <w:rPr>
                <w:rFonts w:hint="eastAsia" w:ascii="Times New Roman" w:hAnsi="Times New Roman" w:eastAsia="仿宋_GB2312" w:cs="仿宋_GB2312"/>
                <w:sz w:val="24"/>
                <w:szCs w:val="24"/>
                <w:vertAlign w:val="baseline"/>
                <w:lang w:eastAsia="zh-CN"/>
              </w:rPr>
              <w:t>一次性</w:t>
            </w:r>
            <w:r>
              <w:rPr>
                <w:rFonts w:hint="eastAsia" w:ascii="Times New Roman" w:hAnsi="Times New Roman" w:eastAsia="仿宋_GB2312" w:cs="仿宋_GB2312"/>
                <w:sz w:val="24"/>
                <w:szCs w:val="24"/>
                <w:vertAlign w:val="baseline"/>
              </w:rPr>
              <w:t>告知申请人许可条件和所需材料。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2.规范告知承诺流程，依法列出可量化、可操作、不含兜底条款的许可条件，编制自贸区告知承诺企业服务指南，提高企业的感知度。</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3.落实对告知承诺企业的证后检查制度，发现违反承诺的，依法予以处理，强化证后监管。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自由贸易试验区（含自由贸易试验区所在县、不</w:t>
            </w:r>
            <w:r>
              <w:rPr>
                <w:rFonts w:hint="default" w:ascii="Times New Roman" w:hAnsi="Times New Roman" w:eastAsia="仿宋_GB2312" w:cs="仿宋_GB2312"/>
                <w:sz w:val="24"/>
                <w:szCs w:val="24"/>
                <w:vertAlign w:val="baseline"/>
              </w:rPr>
              <w:t>设</w:t>
            </w:r>
            <w:r>
              <w:rPr>
                <w:rFonts w:hint="eastAsia" w:ascii="Times New Roman" w:hAnsi="Times New Roman" w:eastAsia="仿宋_GB2312" w:cs="仿宋_GB2312"/>
                <w:sz w:val="24"/>
                <w:szCs w:val="24"/>
                <w:vertAlign w:val="baseline"/>
              </w:rPr>
              <w:t>区的市、市辖区的其他区域）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10</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电子认证服务许可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优化审批流程，将工业和信息化部审查和征求商务部意见两个环节由串联改为并联。</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color w:val="auto"/>
                <w:sz w:val="24"/>
                <w:szCs w:val="24"/>
                <w:vertAlign w:val="baseline"/>
              </w:rPr>
              <w:t>将审批时限由45日压减至40日。</w:t>
            </w:r>
          </w:p>
        </w:tc>
        <w:tc>
          <w:tcPr>
            <w:tcW w:w="4770"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开展“双随机、一公开”监管，按照不同业务类型、信用水平等，合理确定抽查比例。</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numPr>
                <w:ilvl w:val="0"/>
                <w:numId w:val="0"/>
              </w:num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1.加强行政执法，依法依规组织各级民用爆炸物品行业主管部门实行全覆盖监管，发现违法违规行为要依法查处并公开结果。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2.依法从严查处未经许可生产民用爆炸物品、利用现场混装炸药作业系统非法生产工业炸药的行为。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民用爆炸物品安全生产许可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1.加强行政执法，依法依规实行全覆盖监管，开展民用爆炸物品行业安全生产专项督查，发现违法违规行为要依法查处并公开结果。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民用爆炸物品销售许可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取消申请许可时“从事配送业务的必须具备押运员、驾驶员以及符合特定的爆炸物品专用运输车辆”的要求。</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将民用爆炸物品销售许可证年检制度改为年度报告制度。</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1.加强行政执法，依法依规实行全覆盖监管，发现违法违规销售民用爆炸物品（包括硝酸铵）行为要依法查处并公开结果。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3.及时处理投诉举报。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互联网域名根服务器设置及其运行机构和注册管理机构的设立审批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设立互联网域名注册服务机构审批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eastAsia" w:ascii="Times New Roman" w:hAnsi="Times New Roman" w:eastAsia="仿宋_GB2312" w:cs="仿宋_GB2312"/>
                <w:sz w:val="24"/>
                <w:szCs w:val="24"/>
                <w:vertAlign w:val="baseline"/>
              </w:rPr>
              <w:t>.完善有关管理系统，实现审批全流程监控。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3</w:t>
            </w:r>
            <w:r>
              <w:rPr>
                <w:rFonts w:hint="eastAsia" w:ascii="Times New Roman" w:hAnsi="Times New Roman" w:eastAsia="仿宋_GB2312" w:cs="仿宋_GB2312"/>
                <w:sz w:val="24"/>
                <w:szCs w:val="24"/>
                <w:vertAlign w:val="baseline"/>
              </w:rPr>
              <w:t>.通过系统自动导入功能，将申请人之前填写内容自动导入申请表格，方便申请人修改，支持大数据附件上传功能。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4</w:t>
            </w:r>
            <w:r>
              <w:rPr>
                <w:rFonts w:hint="eastAsia" w:ascii="Times New Roman" w:hAnsi="Times New Roman" w:eastAsia="仿宋_GB2312" w:cs="仿宋_GB2312"/>
                <w:sz w:val="24"/>
                <w:szCs w:val="24"/>
                <w:vertAlign w:val="baseline"/>
              </w:rPr>
              <w:t>.设定流程审核时限，通过短信提醒等方式督促按时办结。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5</w:t>
            </w:r>
            <w:r>
              <w:rPr>
                <w:rFonts w:hint="eastAsia" w:ascii="Times New Roman" w:hAnsi="Times New Roman" w:eastAsia="仿宋_GB2312" w:cs="仿宋_GB2312"/>
                <w:sz w:val="24"/>
                <w:szCs w:val="24"/>
                <w:vertAlign w:val="baseline"/>
              </w:rPr>
              <w:t>.通过发送短信等方式提醒申请人按时递交材料、领取批文等。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道路机动车辆生产企业许可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1.优化道路机动车辆产品许可申报和审批系统，增加产品参数变更扩展备案模块，企业变更扩展产品可直接进行备案</w:t>
            </w:r>
            <w:r>
              <w:rPr>
                <w:rFonts w:hint="eastAsia" w:ascii="Times New Roman" w:hAnsi="Times New Roman" w:eastAsia="仿宋_GB2312" w:cs="仿宋_GB2312"/>
                <w:sz w:val="24"/>
                <w:szCs w:val="24"/>
                <w:vertAlign w:val="baseline"/>
                <w:lang w:eastAsia="zh-CN"/>
              </w:rPr>
              <w:t>并</w:t>
            </w:r>
            <w:r>
              <w:rPr>
                <w:rFonts w:hint="eastAsia" w:ascii="Times New Roman" w:hAnsi="Times New Roman" w:eastAsia="仿宋_GB2312" w:cs="仿宋_GB2312"/>
                <w:sz w:val="24"/>
                <w:szCs w:val="24"/>
                <w:vertAlign w:val="baseline"/>
              </w:rPr>
              <w:t>以《公告》形式按月发布。</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2.研究制定道路机动车辆生产企业自检自证制度，允许满足一定条件的车辆生产企业进行产品自检。</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新冠肺炎</w:t>
            </w:r>
            <w:r>
              <w:rPr>
                <w:rFonts w:hint="eastAsia" w:ascii="Times New Roman" w:hAnsi="Times New Roman" w:eastAsia="仿宋_GB2312" w:cs="仿宋_GB2312"/>
                <w:sz w:val="24"/>
                <w:szCs w:val="24"/>
                <w:vertAlign w:val="baseline"/>
              </w:rPr>
              <w:t>疫情防控初期已试行自检自证，企业可以使用研发验证测试结果替代第三方检测机构检测报告，承诺相关测试结果真实有效并承担相关法律责任。</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lang w:eastAsia="zh-CN"/>
              </w:rPr>
              <w:t>在</w:t>
            </w:r>
            <w:r>
              <w:rPr>
                <w:rFonts w:hint="eastAsia" w:ascii="Times New Roman" w:hAnsi="Times New Roman" w:eastAsia="仿宋_GB2312" w:cs="仿宋_GB2312"/>
                <w:sz w:val="24"/>
                <w:szCs w:val="24"/>
                <w:vertAlign w:val="baseline"/>
              </w:rPr>
              <w:t>发动机产品已推行系族申报</w:t>
            </w:r>
            <w:r>
              <w:rPr>
                <w:rFonts w:hint="eastAsia" w:ascii="Times New Roman" w:hAnsi="Times New Roman" w:eastAsia="仿宋_GB2312" w:cs="仿宋_GB2312"/>
                <w:sz w:val="24"/>
                <w:szCs w:val="24"/>
                <w:vertAlign w:val="baseline"/>
                <w:lang w:eastAsia="zh-CN"/>
              </w:rPr>
              <w:t>的基础上，</w:t>
            </w:r>
            <w:r>
              <w:rPr>
                <w:rFonts w:hint="eastAsia" w:ascii="Times New Roman" w:hAnsi="Times New Roman" w:eastAsia="仿宋_GB2312" w:cs="仿宋_GB2312"/>
                <w:sz w:val="24"/>
                <w:szCs w:val="24"/>
                <w:vertAlign w:val="baseline"/>
              </w:rPr>
              <w:t>研究制定道路机动车辆产品准入系族管理办法，简化产品型号和产品检验。完善道路机动车辆产品许可申报和审批信息系统，方便企业按系族申报产品公告。</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1.对备案事项进行网上公示，对公示反馈意见进行技术复核。每月抽取一定比例的备案事项进行事中事后监督抽查，对确认不符合要求的备案产品移出备案，相关事实录入企业信用档案。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2.采用“双随机一公开”方式，开展生产企业飞行检查和</w:t>
            </w:r>
            <w:r>
              <w:rPr>
                <w:rFonts w:hint="eastAsia" w:ascii="Times New Roman" w:hAnsi="Times New Roman" w:eastAsia="仿宋_GB2312" w:cs="仿宋_GB2312"/>
                <w:sz w:val="24"/>
                <w:szCs w:val="24"/>
                <w:vertAlign w:val="baseline"/>
                <w:lang w:eastAsia="zh-CN"/>
              </w:rPr>
              <w:t>道路机动</w:t>
            </w:r>
            <w:r>
              <w:rPr>
                <w:rFonts w:hint="eastAsia" w:ascii="Times New Roman" w:hAnsi="Times New Roman" w:eastAsia="仿宋_GB2312" w:cs="仿宋_GB2312"/>
                <w:sz w:val="24"/>
                <w:szCs w:val="24"/>
                <w:vertAlign w:val="baseline"/>
              </w:rPr>
              <w:t>车辆产品抽样检查，</w:t>
            </w:r>
            <w:r>
              <w:rPr>
                <w:rFonts w:hint="eastAsia" w:ascii="Times New Roman" w:hAnsi="Times New Roman" w:eastAsia="仿宋_GB2312" w:cs="仿宋_GB2312"/>
                <w:sz w:val="24"/>
                <w:szCs w:val="24"/>
                <w:vertAlign w:val="baseline"/>
                <w:lang w:eastAsia="zh-CN"/>
              </w:rPr>
              <w:t>公开</w:t>
            </w:r>
            <w:r>
              <w:rPr>
                <w:rFonts w:hint="eastAsia" w:ascii="Times New Roman" w:hAnsi="Times New Roman" w:eastAsia="仿宋_GB2312" w:cs="仿宋_GB2312"/>
                <w:sz w:val="24"/>
                <w:szCs w:val="24"/>
                <w:vertAlign w:val="baseline"/>
              </w:rPr>
              <w:t>检查结果，并依法依规予以行政处罚。</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3.加强与公安、交通、市场监管等部门联合执法。根据车辆注册登记、运输管理、质量监管等环节发现的违规行为信息，与相关部门组织开展核查，对违法违规行为</w:t>
            </w:r>
            <w:r>
              <w:rPr>
                <w:rFonts w:hint="eastAsia" w:ascii="Times New Roman" w:hAnsi="Times New Roman" w:eastAsia="仿宋_GB2312" w:cs="仿宋_GB2312"/>
                <w:sz w:val="24"/>
                <w:szCs w:val="24"/>
                <w:vertAlign w:val="baseline"/>
                <w:lang w:eastAsia="zh-CN"/>
              </w:rPr>
              <w:t>依法进行</w:t>
            </w:r>
            <w:r>
              <w:rPr>
                <w:rFonts w:hint="eastAsia" w:ascii="Times New Roman" w:hAnsi="Times New Roman" w:eastAsia="仿宋_GB2312" w:cs="仿宋_GB2312"/>
                <w:sz w:val="24"/>
                <w:szCs w:val="24"/>
                <w:vertAlign w:val="baseline"/>
              </w:rPr>
              <w:t>联合惩戒。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4.建立道路机动车辆生产企业信用信息数据库，对多次存在违规问题的企业加大监督检查频次。</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第二类监控化学品经营许可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将审批时限由20个工作日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18个工作日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1.开展“双随机、一公开”监管，依法查处违法违规经营活动并公开结果。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1"/>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取消</w:t>
            </w:r>
            <w:r>
              <w:rPr>
                <w:rFonts w:hint="eastAsia" w:ascii="Times New Roman" w:hAnsi="Times New Roman" w:eastAsia="仿宋_GB2312" w:cs="仿宋_GB2312"/>
                <w:sz w:val="24"/>
                <w:szCs w:val="24"/>
                <w:vertAlign w:val="baseline"/>
              </w:rPr>
              <w:t>省级工业和信息化主管部门初审</w:t>
            </w:r>
            <w:r>
              <w:rPr>
                <w:rFonts w:hint="default" w:ascii="Times New Roman" w:hAnsi="Times New Roman" w:eastAsia="仿宋_GB2312" w:cs="仿宋_GB2312"/>
                <w:sz w:val="24"/>
                <w:szCs w:val="24"/>
                <w:vertAlign w:val="baseline"/>
              </w:rPr>
              <w:t>。</w:t>
            </w:r>
          </w:p>
          <w:p>
            <w:pPr>
              <w:numPr>
                <w:ilvl w:val="0"/>
                <w:numId w:val="1"/>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由</w:t>
            </w:r>
            <w:r>
              <w:rPr>
                <w:rFonts w:hint="eastAsia" w:ascii="Times New Roman" w:hAnsi="Times New Roman" w:eastAsia="仿宋_GB2312" w:cs="仿宋_GB2312"/>
                <w:sz w:val="24"/>
                <w:szCs w:val="24"/>
                <w:vertAlign w:val="baseline"/>
              </w:rPr>
              <w:t>工业和信息化部审批，调整为省级工业和信息化主管部门直接审批。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5.</w:t>
            </w:r>
            <w:r>
              <w:rPr>
                <w:rFonts w:hint="eastAsia" w:ascii="Times New Roman" w:hAnsi="Times New Roman" w:eastAsia="仿宋_GB2312" w:cs="仿宋_GB2312"/>
                <w:sz w:val="24"/>
                <w:szCs w:val="24"/>
                <w:vertAlign w:val="baseline"/>
              </w:rPr>
              <w:t>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bl>
    <w:p>
      <w:pPr>
        <w:pStyle w:val="2"/>
        <w:ind w:left="0" w:leftChars="0" w:firstLine="0" w:firstLineChars="0"/>
        <w:rPr>
          <w:rFonts w:ascii="Times New Roman" w:hAnsi="Times New Roman" w:eastAsia="仿宋_GB2312"/>
        </w:rPr>
      </w:pPr>
    </w:p>
    <w:sectPr>
      <w:headerReference r:id="rId3" w:type="default"/>
      <w:footerReference r:id="rId4" w:type="default"/>
      <w:pgSz w:w="16838" w:h="11906" w:orient="landscape"/>
      <w:pgMar w:top="1701" w:right="1440" w:bottom="1701"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8538"/>
    <w:multiLevelType w:val="singleLevel"/>
    <w:tmpl w:val="60D285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EABD11"/>
    <w:rsid w:val="13E33F28"/>
    <w:rsid w:val="167DCEEE"/>
    <w:rsid w:val="179F751F"/>
    <w:rsid w:val="1DB6E69C"/>
    <w:rsid w:val="1FBE884B"/>
    <w:rsid w:val="1FF7FC89"/>
    <w:rsid w:val="2D7F9413"/>
    <w:rsid w:val="2EE856E1"/>
    <w:rsid w:val="2F740007"/>
    <w:rsid w:val="2FFF2167"/>
    <w:rsid w:val="35FF76AA"/>
    <w:rsid w:val="3B69AB26"/>
    <w:rsid w:val="3C3D9D49"/>
    <w:rsid w:val="3EFF035C"/>
    <w:rsid w:val="3FC6D81C"/>
    <w:rsid w:val="3FEE76C2"/>
    <w:rsid w:val="3FEFC8CA"/>
    <w:rsid w:val="3FF7CD50"/>
    <w:rsid w:val="3FFE6420"/>
    <w:rsid w:val="4BFCC5AF"/>
    <w:rsid w:val="535E0A6E"/>
    <w:rsid w:val="5AFF01C0"/>
    <w:rsid w:val="5BC19E84"/>
    <w:rsid w:val="5CEB87F5"/>
    <w:rsid w:val="5CFD423A"/>
    <w:rsid w:val="5EFCB591"/>
    <w:rsid w:val="5FCF8083"/>
    <w:rsid w:val="5FFFDAB7"/>
    <w:rsid w:val="62E869EC"/>
    <w:rsid w:val="67F3A140"/>
    <w:rsid w:val="67FBEA1D"/>
    <w:rsid w:val="6C3C5613"/>
    <w:rsid w:val="6DE0FAE1"/>
    <w:rsid w:val="6E7E0F12"/>
    <w:rsid w:val="6F77A06E"/>
    <w:rsid w:val="6FEBA870"/>
    <w:rsid w:val="6FFF85D2"/>
    <w:rsid w:val="72F8F153"/>
    <w:rsid w:val="73FFF396"/>
    <w:rsid w:val="754A0A67"/>
    <w:rsid w:val="75FB7DC6"/>
    <w:rsid w:val="77DE02AC"/>
    <w:rsid w:val="77FD7FF8"/>
    <w:rsid w:val="77FF558F"/>
    <w:rsid w:val="77FFBC15"/>
    <w:rsid w:val="795548E2"/>
    <w:rsid w:val="79FD5933"/>
    <w:rsid w:val="79FFAF07"/>
    <w:rsid w:val="7A5B7FDF"/>
    <w:rsid w:val="7ABAE58F"/>
    <w:rsid w:val="7AFFC8B4"/>
    <w:rsid w:val="7B6F2957"/>
    <w:rsid w:val="7B7FA029"/>
    <w:rsid w:val="7BEF5843"/>
    <w:rsid w:val="7BFCCC8E"/>
    <w:rsid w:val="7BFF4251"/>
    <w:rsid w:val="7CAEDAF0"/>
    <w:rsid w:val="7CBC3448"/>
    <w:rsid w:val="7D6FB1CD"/>
    <w:rsid w:val="7E2C4F82"/>
    <w:rsid w:val="7EBFA881"/>
    <w:rsid w:val="7F4F0A3C"/>
    <w:rsid w:val="7F4F966C"/>
    <w:rsid w:val="7F6BE0DA"/>
    <w:rsid w:val="7FBE5DD3"/>
    <w:rsid w:val="7FD8BBB9"/>
    <w:rsid w:val="7FDB18FC"/>
    <w:rsid w:val="7FDF0B5D"/>
    <w:rsid w:val="7FE9D64F"/>
    <w:rsid w:val="7FF69D53"/>
    <w:rsid w:val="7FF93E01"/>
    <w:rsid w:val="937A911E"/>
    <w:rsid w:val="9B7F5235"/>
    <w:rsid w:val="9C776055"/>
    <w:rsid w:val="9FFF31D6"/>
    <w:rsid w:val="A7D9213E"/>
    <w:rsid w:val="AB3DF3BC"/>
    <w:rsid w:val="ABD9F30A"/>
    <w:rsid w:val="AEDDC079"/>
    <w:rsid w:val="B75FF49C"/>
    <w:rsid w:val="B8BDA820"/>
    <w:rsid w:val="B8FE0D1A"/>
    <w:rsid w:val="BAFDC1C4"/>
    <w:rsid w:val="BBEA670A"/>
    <w:rsid w:val="BEE6498D"/>
    <w:rsid w:val="BF3724EA"/>
    <w:rsid w:val="BFCAD5FF"/>
    <w:rsid w:val="BFDF56A3"/>
    <w:rsid w:val="BFEE95AD"/>
    <w:rsid w:val="BFF7DA1E"/>
    <w:rsid w:val="BFFD3B8C"/>
    <w:rsid w:val="C9E69DB4"/>
    <w:rsid w:val="CBBE6626"/>
    <w:rsid w:val="CFEF7988"/>
    <w:rsid w:val="D77C57E3"/>
    <w:rsid w:val="D9FAC0C1"/>
    <w:rsid w:val="DF3D6C57"/>
    <w:rsid w:val="DFF6642C"/>
    <w:rsid w:val="DFF7B9C5"/>
    <w:rsid w:val="E47B5F71"/>
    <w:rsid w:val="E67FA570"/>
    <w:rsid w:val="E9FE6345"/>
    <w:rsid w:val="EDD8F956"/>
    <w:rsid w:val="EDF880DC"/>
    <w:rsid w:val="EDFD55DB"/>
    <w:rsid w:val="EF7F4975"/>
    <w:rsid w:val="EFAC76F4"/>
    <w:rsid w:val="EFB7A43D"/>
    <w:rsid w:val="EFEA6B5B"/>
    <w:rsid w:val="EFFCEB3A"/>
    <w:rsid w:val="F3DF7A7E"/>
    <w:rsid w:val="F7B7AC4B"/>
    <w:rsid w:val="F7CDE531"/>
    <w:rsid w:val="F80FE4D1"/>
    <w:rsid w:val="FB2FF3E6"/>
    <w:rsid w:val="FBAA56A2"/>
    <w:rsid w:val="FBBBB6C5"/>
    <w:rsid w:val="FBBF5B85"/>
    <w:rsid w:val="FBDF2BF5"/>
    <w:rsid w:val="FBDFEC12"/>
    <w:rsid w:val="FCFB5290"/>
    <w:rsid w:val="FD5A2780"/>
    <w:rsid w:val="FD7D369D"/>
    <w:rsid w:val="FD7F7F41"/>
    <w:rsid w:val="FDBD388B"/>
    <w:rsid w:val="FE7EE7D1"/>
    <w:rsid w:val="FE7FC698"/>
    <w:rsid w:val="FEDF9401"/>
    <w:rsid w:val="FF3FBFDC"/>
    <w:rsid w:val="FF7F47D2"/>
    <w:rsid w:val="FF9DAF07"/>
    <w:rsid w:val="FFB97284"/>
    <w:rsid w:val="FFBCFB3B"/>
    <w:rsid w:val="FFFAED46"/>
    <w:rsid w:val="FFFB500E"/>
    <w:rsid w:val="FFFFB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w:basedOn w:val="1"/>
    <w:uiPriority w:val="0"/>
    <w:pPr>
      <w:widowControl/>
      <w:spacing w:after="240" w:afterLines="0"/>
      <w:ind w:left="142"/>
    </w:pPr>
    <w:rPr>
      <w:rFonts w:ascii="Verdana" w:hAnsi="Verdana" w:eastAsia="宋体" w:cs="Times New Roman"/>
      <w:kern w:val="0"/>
      <w:sz w:val="18"/>
      <w:lang w:val="zh-CN"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nhideWhenUsed/>
    <w:uiPriority w:val="9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6</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2009-01-01T08:45:00Z</dcterms:created>
  <dc:creator>uof</dc:creator>
  <cp:lastModifiedBy>editor</cp:lastModifiedBy>
  <cp:lastPrinted>2021-06-27T05:42:31Z</cp:lastPrinted>
  <dcterms:modified xsi:type="dcterms:W3CDTF">2021-07-04T08:45:18Z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946D58FBC6B647AF812A0A29E518FBC1</vt:lpwstr>
  </property>
</Properties>
</file>